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81"/>
      </w:tblGrid>
      <w:tr w:rsidR="008E0536" w14:paraId="0A3B2229" w14:textId="77777777" w:rsidTr="00B237AB">
        <w:trPr>
          <w:trHeight w:val="850"/>
        </w:trPr>
        <w:tc>
          <w:tcPr>
            <w:tcW w:w="10480" w:type="dxa"/>
            <w:gridSpan w:val="2"/>
            <w:shd w:val="clear" w:color="auto" w:fill="E8E3DB" w:themeFill="accent2"/>
            <w:vAlign w:val="center"/>
          </w:tcPr>
          <w:p w14:paraId="17391DA7" w14:textId="77777777" w:rsidR="004C700B" w:rsidRDefault="008E0536" w:rsidP="009A5075">
            <w:pPr>
              <w:spacing w:line="276" w:lineRule="auto"/>
              <w:jc w:val="center"/>
              <w:rPr>
                <w:b/>
                <w:bCs/>
              </w:rPr>
            </w:pPr>
            <w:r w:rsidRPr="006B31EF">
              <w:rPr>
                <w:b/>
                <w:bCs/>
              </w:rPr>
              <w:t>Scholarships and Fees Steering Committee</w:t>
            </w:r>
            <w:r w:rsidR="00126405">
              <w:rPr>
                <w:b/>
                <w:bCs/>
              </w:rPr>
              <w:t xml:space="preserve"> </w:t>
            </w:r>
          </w:p>
          <w:p w14:paraId="2DBB6C6B" w14:textId="35FF1E45" w:rsidR="008E0536" w:rsidRPr="008E0536" w:rsidRDefault="00126405" w:rsidP="009A50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Terms of Reference</w:t>
            </w:r>
          </w:p>
        </w:tc>
      </w:tr>
      <w:tr w:rsidR="008E0536" w14:paraId="290B6E7C" w14:textId="77777777" w:rsidTr="00EE2D99">
        <w:trPr>
          <w:trHeight w:val="5896"/>
        </w:trPr>
        <w:tc>
          <w:tcPr>
            <w:tcW w:w="6799" w:type="dxa"/>
            <w:vAlign w:val="center"/>
          </w:tcPr>
          <w:p w14:paraId="10BF4CCF" w14:textId="114FC8FC" w:rsidR="00F27A61" w:rsidRPr="008B0CE5" w:rsidRDefault="008B0CE5" w:rsidP="00D54D98">
            <w:pPr>
              <w:spacing w:line="276" w:lineRule="auto"/>
              <w:rPr>
                <w:rFonts w:ascii="Arial Bold" w:hAnsi="Arial Bold"/>
                <w:b/>
                <w:bCs/>
                <w:caps/>
                <w:sz w:val="20"/>
                <w:szCs w:val="20"/>
              </w:rPr>
            </w:pPr>
            <w:r w:rsidRPr="008B0CE5">
              <w:rPr>
                <w:rFonts w:ascii="Arial Bold" w:hAnsi="Arial Bold"/>
                <w:b/>
                <w:bCs/>
                <w:caps/>
                <w:sz w:val="20"/>
                <w:szCs w:val="20"/>
              </w:rPr>
              <w:t>Membership</w:t>
            </w:r>
          </w:p>
          <w:p w14:paraId="3D826489" w14:textId="77777777" w:rsidR="008B0CE5" w:rsidRDefault="001E7571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Provost and Deputy Vice-Chancellor (Academic) (</w:t>
            </w:r>
            <w:r w:rsidRPr="00286201">
              <w:rPr>
                <w:b/>
                <w:bCs/>
                <w:sz w:val="20"/>
                <w:szCs w:val="20"/>
              </w:rPr>
              <w:t>Chair</w:t>
            </w:r>
            <w:r>
              <w:rPr>
                <w:sz w:val="20"/>
                <w:szCs w:val="20"/>
              </w:rPr>
              <w:t>)</w:t>
            </w:r>
          </w:p>
          <w:p w14:paraId="029B7252" w14:textId="77777777" w:rsidR="002A1132" w:rsidRDefault="002A1132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Registrar and Director, Student Administration</w:t>
            </w:r>
          </w:p>
          <w:p w14:paraId="344A577F" w14:textId="77777777" w:rsidR="002A1132" w:rsidRDefault="009817FC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Financial Officer</w:t>
            </w:r>
          </w:p>
          <w:p w14:paraId="346E5424" w14:textId="77777777" w:rsidR="009817FC" w:rsidRDefault="009817FC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Marketing Officer</w:t>
            </w:r>
          </w:p>
          <w:p w14:paraId="4E7A2A5B" w14:textId="083B307C" w:rsidR="009817FC" w:rsidRDefault="009817FC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Advancement</w:t>
            </w:r>
          </w:p>
          <w:p w14:paraId="56AE31F0" w14:textId="77777777" w:rsidR="00925169" w:rsidRDefault="00925169" w:rsidP="0092516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Centre for Education and Innovation</w:t>
            </w:r>
          </w:p>
          <w:p w14:paraId="6075852A" w14:textId="77777777" w:rsidR="009817FC" w:rsidRDefault="00E47203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Graduate Research School</w:t>
            </w:r>
          </w:p>
          <w:p w14:paraId="4AF7E457" w14:textId="77777777" w:rsidR="00E47203" w:rsidRPr="006D3CAD" w:rsidRDefault="00E47203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 w:rsidRPr="006D3CAD">
              <w:rPr>
                <w:sz w:val="20"/>
                <w:szCs w:val="20"/>
              </w:rPr>
              <w:t>Director, Pathways</w:t>
            </w:r>
          </w:p>
          <w:p w14:paraId="5DB2F759" w14:textId="77777777" w:rsidR="002C2C63" w:rsidRDefault="002C2C63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Strategy and Operations, PSH Education and VP</w:t>
            </w:r>
          </w:p>
          <w:p w14:paraId="62D00747" w14:textId="77777777" w:rsidR="002C2C63" w:rsidRDefault="002C2C63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Student Experience and Enhancement</w:t>
            </w:r>
          </w:p>
          <w:p w14:paraId="3D09C289" w14:textId="097029EE" w:rsidR="002C2C63" w:rsidRDefault="002C2C63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Strategy and Operations</w:t>
            </w:r>
            <w:r w:rsidR="004B77B6">
              <w:rPr>
                <w:sz w:val="20"/>
                <w:szCs w:val="20"/>
              </w:rPr>
              <w:t>, PSH Education and Arts</w:t>
            </w:r>
          </w:p>
          <w:p w14:paraId="79D14CBE" w14:textId="14575426" w:rsidR="004B77B6" w:rsidRDefault="004B77B6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Strategy and Operations, PSH Health Sciences</w:t>
            </w:r>
          </w:p>
          <w:p w14:paraId="49FFF954" w14:textId="52D845B0" w:rsidR="004B77B6" w:rsidRDefault="004B77B6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Strategy and Operations, PSH, Law, Business, Theology and Philosophy</w:t>
            </w:r>
          </w:p>
          <w:p w14:paraId="1823975F" w14:textId="77777777" w:rsidR="002C2C63" w:rsidRDefault="002C2C63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Vice-Chancellor, Global</w:t>
            </w:r>
          </w:p>
          <w:p w14:paraId="019CEAD1" w14:textId="77777777" w:rsidR="00286201" w:rsidRDefault="002C2C63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Vice-Chancellor, Indigenous</w:t>
            </w:r>
            <w:r w:rsidR="00286201">
              <w:rPr>
                <w:sz w:val="20"/>
                <w:szCs w:val="20"/>
              </w:rPr>
              <w:t xml:space="preserve"> </w:t>
            </w:r>
          </w:p>
          <w:p w14:paraId="271D342F" w14:textId="77777777" w:rsidR="002C2C63" w:rsidRDefault="00286201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Senior </w:t>
            </w:r>
            <w:r w:rsidRPr="00A27DB8">
              <w:rPr>
                <w:sz w:val="20"/>
                <w:szCs w:val="20"/>
              </w:rPr>
              <w:t>Director, Strategy and Operations, PSH Provost and DVCRE</w:t>
            </w:r>
          </w:p>
          <w:p w14:paraId="1E2FF9E6" w14:textId="43AC7F68" w:rsidR="00925169" w:rsidRDefault="00925169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of the Fee Operational Group</w:t>
            </w:r>
          </w:p>
          <w:p w14:paraId="199A37D8" w14:textId="56626632" w:rsidR="00925169" w:rsidRPr="00286201" w:rsidRDefault="00925169" w:rsidP="00D54D9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of the Scholarships Operational Group</w:t>
            </w:r>
          </w:p>
        </w:tc>
        <w:tc>
          <w:tcPr>
            <w:tcW w:w="3681" w:type="dxa"/>
            <w:vAlign w:val="center"/>
          </w:tcPr>
          <w:p w14:paraId="134DCF66" w14:textId="674C32CA" w:rsidR="008E0536" w:rsidRDefault="006B31EF" w:rsidP="00D54D98">
            <w:pPr>
              <w:spacing w:line="276" w:lineRule="auto"/>
              <w:rPr>
                <w:sz w:val="20"/>
                <w:szCs w:val="20"/>
              </w:rPr>
            </w:pPr>
            <w:r w:rsidRPr="00DD6F9A">
              <w:rPr>
                <w:b/>
                <w:bCs/>
                <w:sz w:val="20"/>
                <w:szCs w:val="20"/>
              </w:rPr>
              <w:t>Date of establishment</w:t>
            </w:r>
            <w:r>
              <w:rPr>
                <w:sz w:val="20"/>
                <w:szCs w:val="20"/>
              </w:rPr>
              <w:t xml:space="preserve">: </w:t>
            </w:r>
            <w:r w:rsidR="00BE4EEA">
              <w:rPr>
                <w:sz w:val="20"/>
                <w:szCs w:val="20"/>
              </w:rPr>
              <w:t>May 2025</w:t>
            </w:r>
          </w:p>
          <w:p w14:paraId="28C06D82" w14:textId="77777777" w:rsidR="006B31EF" w:rsidRDefault="006B31EF" w:rsidP="00D54D98">
            <w:pPr>
              <w:spacing w:line="276" w:lineRule="auto"/>
              <w:rPr>
                <w:sz w:val="20"/>
                <w:szCs w:val="20"/>
              </w:rPr>
            </w:pPr>
          </w:p>
          <w:p w14:paraId="1DFA1146" w14:textId="0A7E53EF" w:rsidR="006B31EF" w:rsidRDefault="00DD6F9A" w:rsidP="00D54D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frequency</w:t>
            </w:r>
            <w:r>
              <w:rPr>
                <w:sz w:val="20"/>
                <w:szCs w:val="20"/>
              </w:rPr>
              <w:t xml:space="preserve">: </w:t>
            </w:r>
            <w:r w:rsidR="00AA58F0">
              <w:rPr>
                <w:sz w:val="20"/>
                <w:szCs w:val="20"/>
              </w:rPr>
              <w:t>4-5 times per year</w:t>
            </w:r>
            <w:r w:rsidR="000F59D5">
              <w:rPr>
                <w:sz w:val="20"/>
                <w:szCs w:val="20"/>
              </w:rPr>
              <w:t xml:space="preserve"> (or as required)</w:t>
            </w:r>
          </w:p>
          <w:p w14:paraId="3CA007EF" w14:textId="77777777" w:rsidR="00DD6F9A" w:rsidRDefault="00DD6F9A" w:rsidP="00D54D98">
            <w:pPr>
              <w:spacing w:line="276" w:lineRule="auto"/>
              <w:rPr>
                <w:sz w:val="20"/>
                <w:szCs w:val="20"/>
              </w:rPr>
            </w:pPr>
          </w:p>
          <w:p w14:paraId="32B9250B" w14:textId="672366AB" w:rsidR="00DD6F9A" w:rsidRDefault="00DD6F9A" w:rsidP="00D54D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duration</w:t>
            </w:r>
            <w:r>
              <w:rPr>
                <w:sz w:val="20"/>
                <w:szCs w:val="20"/>
              </w:rPr>
              <w:t xml:space="preserve">: </w:t>
            </w:r>
            <w:r w:rsidR="00AA58F0">
              <w:rPr>
                <w:sz w:val="20"/>
                <w:szCs w:val="20"/>
              </w:rPr>
              <w:t>One hour</w:t>
            </w:r>
          </w:p>
          <w:p w14:paraId="31879B1E" w14:textId="77777777" w:rsidR="00DD6F9A" w:rsidRDefault="00DD6F9A" w:rsidP="00D54D98">
            <w:pPr>
              <w:spacing w:line="276" w:lineRule="auto"/>
              <w:rPr>
                <w:sz w:val="20"/>
                <w:szCs w:val="20"/>
              </w:rPr>
            </w:pPr>
          </w:p>
          <w:p w14:paraId="73413627" w14:textId="526CCB45" w:rsidR="00DD6F9A" w:rsidRDefault="00DD6F9A" w:rsidP="00D54D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format</w:t>
            </w:r>
            <w:r>
              <w:rPr>
                <w:sz w:val="20"/>
                <w:szCs w:val="20"/>
              </w:rPr>
              <w:t xml:space="preserve">: </w:t>
            </w:r>
            <w:r w:rsidR="007A7876">
              <w:rPr>
                <w:sz w:val="20"/>
                <w:szCs w:val="20"/>
              </w:rPr>
              <w:t>via Micr</w:t>
            </w:r>
            <w:r w:rsidR="00581D04">
              <w:rPr>
                <w:sz w:val="20"/>
                <w:szCs w:val="20"/>
              </w:rPr>
              <w:t>o</w:t>
            </w:r>
            <w:r w:rsidR="007A7876">
              <w:rPr>
                <w:sz w:val="20"/>
                <w:szCs w:val="20"/>
              </w:rPr>
              <w:t>soft</w:t>
            </w:r>
            <w:r w:rsidR="00752E4E">
              <w:rPr>
                <w:sz w:val="20"/>
                <w:szCs w:val="20"/>
              </w:rPr>
              <w:t xml:space="preserve"> </w:t>
            </w:r>
            <w:r w:rsidR="00AA58F0">
              <w:rPr>
                <w:sz w:val="20"/>
                <w:szCs w:val="20"/>
              </w:rPr>
              <w:t>Teams</w:t>
            </w:r>
          </w:p>
          <w:p w14:paraId="25AB4A8D" w14:textId="77777777" w:rsidR="00DD6F9A" w:rsidRDefault="00DD6F9A" w:rsidP="00D54D98">
            <w:pPr>
              <w:spacing w:line="276" w:lineRule="auto"/>
              <w:rPr>
                <w:sz w:val="20"/>
                <w:szCs w:val="20"/>
              </w:rPr>
            </w:pPr>
          </w:p>
          <w:p w14:paraId="4A1C5FDF" w14:textId="77777777" w:rsidR="00DD6F9A" w:rsidRDefault="00DD6F9A" w:rsidP="00D54D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Responsible officer</w:t>
            </w:r>
            <w:r>
              <w:rPr>
                <w:sz w:val="20"/>
                <w:szCs w:val="20"/>
              </w:rPr>
              <w:t>: Provost</w:t>
            </w:r>
          </w:p>
          <w:p w14:paraId="5BF3CE13" w14:textId="77777777" w:rsidR="00DD6F9A" w:rsidRDefault="00DD6F9A" w:rsidP="00D54D98">
            <w:pPr>
              <w:spacing w:line="276" w:lineRule="auto"/>
              <w:rPr>
                <w:sz w:val="20"/>
                <w:szCs w:val="20"/>
              </w:rPr>
            </w:pPr>
          </w:p>
          <w:p w14:paraId="6F82F711" w14:textId="4AC62293" w:rsidR="00DD6F9A" w:rsidRDefault="00DD6F9A" w:rsidP="00D54D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Governance officer</w:t>
            </w:r>
            <w:r>
              <w:rPr>
                <w:sz w:val="20"/>
                <w:szCs w:val="20"/>
              </w:rPr>
              <w:t>: Office of the Provost</w:t>
            </w:r>
            <w:r w:rsidR="0009659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PSH Provost and DVCRE</w:t>
            </w:r>
          </w:p>
          <w:p w14:paraId="41823668" w14:textId="77777777" w:rsidR="00DD6F9A" w:rsidRDefault="00DD6F9A" w:rsidP="00D54D98">
            <w:pPr>
              <w:spacing w:line="276" w:lineRule="auto"/>
              <w:rPr>
                <w:sz w:val="20"/>
                <w:szCs w:val="20"/>
              </w:rPr>
            </w:pPr>
          </w:p>
          <w:p w14:paraId="27709052" w14:textId="0C95F468" w:rsidR="00E80937" w:rsidRDefault="00E80937" w:rsidP="00D54D98">
            <w:pPr>
              <w:spacing w:line="276" w:lineRule="auto"/>
              <w:rPr>
                <w:sz w:val="20"/>
                <w:szCs w:val="20"/>
              </w:rPr>
            </w:pPr>
            <w:r w:rsidRPr="000A7807">
              <w:rPr>
                <w:b/>
                <w:bCs/>
                <w:sz w:val="20"/>
                <w:szCs w:val="20"/>
              </w:rPr>
              <w:t>Reports to</w:t>
            </w:r>
            <w:r>
              <w:rPr>
                <w:sz w:val="20"/>
                <w:szCs w:val="20"/>
              </w:rPr>
              <w:t>: Vice-Chancellor’s Management Committee</w:t>
            </w:r>
          </w:p>
          <w:p w14:paraId="4B27C23C" w14:textId="77777777" w:rsidR="00E80937" w:rsidRDefault="00E80937" w:rsidP="00D54D98">
            <w:pPr>
              <w:spacing w:line="276" w:lineRule="auto"/>
              <w:rPr>
                <w:sz w:val="20"/>
                <w:szCs w:val="20"/>
              </w:rPr>
            </w:pPr>
          </w:p>
          <w:p w14:paraId="4C5D0EBE" w14:textId="658AE379" w:rsidR="00DD6F9A" w:rsidRPr="00DD6F9A" w:rsidRDefault="00DD6F9A" w:rsidP="00D54D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Quorum</w:t>
            </w:r>
            <w:r>
              <w:rPr>
                <w:sz w:val="20"/>
                <w:szCs w:val="20"/>
              </w:rPr>
              <w:t xml:space="preserve">: 50% of membership, including the chair </w:t>
            </w:r>
            <w:r w:rsidR="002B69B8">
              <w:rPr>
                <w:sz w:val="20"/>
                <w:szCs w:val="20"/>
              </w:rPr>
              <w:t>and/</w:t>
            </w:r>
            <w:r>
              <w:rPr>
                <w:sz w:val="20"/>
                <w:szCs w:val="20"/>
              </w:rPr>
              <w:t>or deputy chair</w:t>
            </w:r>
          </w:p>
        </w:tc>
      </w:tr>
      <w:tr w:rsidR="006B76D8" w14:paraId="3AA4B42E" w14:textId="77777777" w:rsidTr="00420B41">
        <w:trPr>
          <w:trHeight w:val="6520"/>
        </w:trPr>
        <w:tc>
          <w:tcPr>
            <w:tcW w:w="10480" w:type="dxa"/>
            <w:gridSpan w:val="2"/>
            <w:vAlign w:val="center"/>
          </w:tcPr>
          <w:p w14:paraId="7AE5F7CF" w14:textId="1574FA21" w:rsidR="00F27A61" w:rsidRPr="006B76D8" w:rsidRDefault="006B76D8" w:rsidP="00D54D98">
            <w:pPr>
              <w:spacing w:line="276" w:lineRule="auto"/>
              <w:rPr>
                <w:rFonts w:ascii="Arial Bold" w:hAnsi="Arial Bold"/>
                <w:b/>
                <w:bCs/>
                <w:caps/>
                <w:sz w:val="20"/>
                <w:szCs w:val="20"/>
              </w:rPr>
            </w:pPr>
            <w:r w:rsidRPr="006B76D8">
              <w:rPr>
                <w:rFonts w:ascii="Arial Bold" w:hAnsi="Arial Bold"/>
                <w:b/>
                <w:bCs/>
                <w:caps/>
                <w:sz w:val="20"/>
                <w:szCs w:val="20"/>
              </w:rPr>
              <w:t>Purpose and scope</w:t>
            </w:r>
          </w:p>
          <w:p w14:paraId="1DF28A2C" w14:textId="1202D290" w:rsidR="00BE553D" w:rsidRDefault="000075F1" w:rsidP="00D54D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Scholarships and Fees Steering Committee (</w:t>
            </w:r>
            <w:r w:rsidR="000D7CB3">
              <w:rPr>
                <w:sz w:val="20"/>
                <w:szCs w:val="20"/>
              </w:rPr>
              <w:t>‘</w:t>
            </w:r>
            <w:r w:rsidRPr="000075F1">
              <w:rPr>
                <w:i/>
                <w:iCs/>
                <w:sz w:val="20"/>
                <w:szCs w:val="20"/>
              </w:rPr>
              <w:t>Steering Committee</w:t>
            </w:r>
            <w:r w:rsidR="000D7CB3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) </w:t>
            </w:r>
            <w:r w:rsidR="00426A0A">
              <w:rPr>
                <w:sz w:val="20"/>
                <w:szCs w:val="20"/>
              </w:rPr>
              <w:t xml:space="preserve">is responsible for </w:t>
            </w:r>
            <w:r w:rsidR="00BE553D">
              <w:rPr>
                <w:sz w:val="20"/>
                <w:szCs w:val="20"/>
              </w:rPr>
              <w:t>providing the strategic</w:t>
            </w:r>
            <w:r w:rsidR="00F54FD3">
              <w:rPr>
                <w:sz w:val="20"/>
                <w:szCs w:val="20"/>
              </w:rPr>
              <w:t xml:space="preserve"> oversight,</w:t>
            </w:r>
            <w:r w:rsidR="00BE553D">
              <w:rPr>
                <w:sz w:val="20"/>
                <w:szCs w:val="20"/>
              </w:rPr>
              <w:t xml:space="preserve"> direction and framework</w:t>
            </w:r>
            <w:r w:rsidR="00BD0D4A">
              <w:rPr>
                <w:sz w:val="20"/>
                <w:szCs w:val="20"/>
              </w:rPr>
              <w:t>s</w:t>
            </w:r>
            <w:r w:rsidR="00BE553D">
              <w:rPr>
                <w:sz w:val="20"/>
                <w:szCs w:val="20"/>
              </w:rPr>
              <w:t xml:space="preserve"> </w:t>
            </w:r>
            <w:r w:rsidR="00F54FD3">
              <w:rPr>
                <w:sz w:val="20"/>
                <w:szCs w:val="20"/>
              </w:rPr>
              <w:t xml:space="preserve">to guide </w:t>
            </w:r>
            <w:r w:rsidR="00BE553D">
              <w:rPr>
                <w:sz w:val="20"/>
                <w:szCs w:val="20"/>
              </w:rPr>
              <w:t xml:space="preserve">ACU’s </w:t>
            </w:r>
            <w:r w:rsidR="00315A8A">
              <w:rPr>
                <w:sz w:val="20"/>
                <w:szCs w:val="20"/>
              </w:rPr>
              <w:t xml:space="preserve">long-term approach to </w:t>
            </w:r>
            <w:r w:rsidR="00BE553D">
              <w:rPr>
                <w:sz w:val="20"/>
                <w:szCs w:val="20"/>
              </w:rPr>
              <w:t>scholarships and fee</w:t>
            </w:r>
            <w:r w:rsidR="00A141E0">
              <w:rPr>
                <w:sz w:val="20"/>
                <w:szCs w:val="20"/>
              </w:rPr>
              <w:t xml:space="preserve"> </w:t>
            </w:r>
            <w:r w:rsidR="00BE553D">
              <w:rPr>
                <w:sz w:val="20"/>
                <w:szCs w:val="20"/>
              </w:rPr>
              <w:t>s</w:t>
            </w:r>
            <w:r w:rsidR="00A141E0">
              <w:rPr>
                <w:sz w:val="20"/>
                <w:szCs w:val="20"/>
              </w:rPr>
              <w:t>etting</w:t>
            </w:r>
            <w:r w:rsidR="005C43CF">
              <w:rPr>
                <w:sz w:val="20"/>
                <w:szCs w:val="20"/>
              </w:rPr>
              <w:t xml:space="preserve">, leveraging </w:t>
            </w:r>
            <w:r w:rsidR="003509D8">
              <w:rPr>
                <w:sz w:val="20"/>
                <w:szCs w:val="20"/>
              </w:rPr>
              <w:t>the intersection between these to optimise ACU’s offerings</w:t>
            </w:r>
            <w:r w:rsidR="001C7907">
              <w:rPr>
                <w:sz w:val="20"/>
                <w:szCs w:val="20"/>
              </w:rPr>
              <w:t xml:space="preserve">, </w:t>
            </w:r>
            <w:r w:rsidR="001D41D4">
              <w:rPr>
                <w:sz w:val="20"/>
                <w:szCs w:val="20"/>
              </w:rPr>
              <w:t xml:space="preserve">while ensuring </w:t>
            </w:r>
            <w:r w:rsidR="004B0B63">
              <w:rPr>
                <w:sz w:val="20"/>
                <w:szCs w:val="20"/>
              </w:rPr>
              <w:t xml:space="preserve">that </w:t>
            </w:r>
            <w:r w:rsidR="001D41D4">
              <w:rPr>
                <w:sz w:val="20"/>
                <w:szCs w:val="20"/>
              </w:rPr>
              <w:t xml:space="preserve">the university’s approach </w:t>
            </w:r>
            <w:r w:rsidR="004363EE">
              <w:rPr>
                <w:sz w:val="20"/>
                <w:szCs w:val="20"/>
              </w:rPr>
              <w:t>is financially sustainable, equitable and responsive to changing student needs, market and sector trends</w:t>
            </w:r>
            <w:r w:rsidR="007768FB">
              <w:rPr>
                <w:sz w:val="20"/>
                <w:szCs w:val="20"/>
              </w:rPr>
              <w:t xml:space="preserve">. </w:t>
            </w:r>
          </w:p>
          <w:p w14:paraId="5900291D" w14:textId="77777777" w:rsidR="00BE553D" w:rsidRDefault="00BE553D" w:rsidP="00D54D98">
            <w:pPr>
              <w:spacing w:line="276" w:lineRule="auto"/>
              <w:rPr>
                <w:sz w:val="20"/>
                <w:szCs w:val="20"/>
              </w:rPr>
            </w:pPr>
          </w:p>
          <w:p w14:paraId="5767919D" w14:textId="70F651F7" w:rsidR="00F84FB2" w:rsidRPr="00F84FB2" w:rsidRDefault="00F84FB2" w:rsidP="00D54D98">
            <w:pPr>
              <w:spacing w:line="276" w:lineRule="auto"/>
              <w:rPr>
                <w:sz w:val="20"/>
                <w:szCs w:val="20"/>
              </w:rPr>
            </w:pPr>
            <w:r w:rsidRPr="00F84FB2">
              <w:rPr>
                <w:sz w:val="20"/>
                <w:szCs w:val="20"/>
              </w:rPr>
              <w:t>In th</w:t>
            </w:r>
            <w:r w:rsidR="001D4BB4">
              <w:rPr>
                <w:sz w:val="20"/>
                <w:szCs w:val="20"/>
              </w:rPr>
              <w:t xml:space="preserve">is </w:t>
            </w:r>
            <w:r w:rsidRPr="00F84FB2">
              <w:rPr>
                <w:sz w:val="20"/>
                <w:szCs w:val="20"/>
              </w:rPr>
              <w:t>context, the S</w:t>
            </w:r>
            <w:r w:rsidR="00644CB6">
              <w:rPr>
                <w:sz w:val="20"/>
                <w:szCs w:val="20"/>
              </w:rPr>
              <w:t>teering Committee</w:t>
            </w:r>
            <w:r w:rsidRPr="00F84FB2">
              <w:rPr>
                <w:sz w:val="20"/>
                <w:szCs w:val="20"/>
              </w:rPr>
              <w:t xml:space="preserve"> will:</w:t>
            </w:r>
          </w:p>
          <w:p w14:paraId="65CAED8E" w14:textId="284DE8D6" w:rsidR="00D72D10" w:rsidRDefault="00D72D10" w:rsidP="00D54D9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clear and shared definitions</w:t>
            </w:r>
            <w:r w:rsidR="002C2523">
              <w:rPr>
                <w:sz w:val="20"/>
                <w:szCs w:val="20"/>
              </w:rPr>
              <w:t xml:space="preserve"> and understanding</w:t>
            </w:r>
            <w:r w:rsidR="006E4DD4">
              <w:rPr>
                <w:sz w:val="20"/>
                <w:szCs w:val="20"/>
              </w:rPr>
              <w:t xml:space="preserve">s of </w:t>
            </w:r>
            <w:r w:rsidR="000F191C">
              <w:rPr>
                <w:sz w:val="20"/>
                <w:szCs w:val="20"/>
              </w:rPr>
              <w:t xml:space="preserve">the </w:t>
            </w:r>
            <w:r w:rsidR="006E4DD4">
              <w:rPr>
                <w:sz w:val="20"/>
                <w:szCs w:val="20"/>
              </w:rPr>
              <w:t xml:space="preserve">strategic objectives and </w:t>
            </w:r>
            <w:r>
              <w:rPr>
                <w:sz w:val="20"/>
                <w:szCs w:val="20"/>
              </w:rPr>
              <w:t>purposes for scholarships</w:t>
            </w:r>
            <w:r w:rsidR="00962789">
              <w:rPr>
                <w:sz w:val="20"/>
                <w:szCs w:val="20"/>
              </w:rPr>
              <w:t>;</w:t>
            </w:r>
          </w:p>
          <w:p w14:paraId="4D2838FD" w14:textId="44A6589A" w:rsidR="00F65872" w:rsidRDefault="00F65872" w:rsidP="00D54D9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oversight, expertise and advice </w:t>
            </w:r>
            <w:r w:rsidR="00D926A5">
              <w:rPr>
                <w:sz w:val="20"/>
                <w:szCs w:val="20"/>
              </w:rPr>
              <w:t>on ACU’s long-term strategic direction</w:t>
            </w:r>
            <w:r w:rsidR="00257651">
              <w:rPr>
                <w:sz w:val="20"/>
                <w:szCs w:val="20"/>
              </w:rPr>
              <w:t xml:space="preserve"> for scholarships and fee</w:t>
            </w:r>
            <w:r w:rsidR="002E42E6">
              <w:rPr>
                <w:sz w:val="20"/>
                <w:szCs w:val="20"/>
              </w:rPr>
              <w:t>s</w:t>
            </w:r>
            <w:r w:rsidR="00257651">
              <w:rPr>
                <w:sz w:val="20"/>
                <w:szCs w:val="20"/>
              </w:rPr>
              <w:t>,</w:t>
            </w:r>
            <w:r w:rsidR="00304EB0">
              <w:rPr>
                <w:sz w:val="20"/>
                <w:szCs w:val="20"/>
              </w:rPr>
              <w:t xml:space="preserve"> while</w:t>
            </w:r>
            <w:r w:rsidR="00257651">
              <w:rPr>
                <w:sz w:val="20"/>
                <w:szCs w:val="20"/>
              </w:rPr>
              <w:t xml:space="preserve"> ensuring alignment with the university’s Mission and Vision 2033</w:t>
            </w:r>
            <w:r w:rsidR="00962789">
              <w:rPr>
                <w:sz w:val="20"/>
                <w:szCs w:val="20"/>
              </w:rPr>
              <w:t>;</w:t>
            </w:r>
          </w:p>
          <w:p w14:paraId="2239E51A" w14:textId="2C072A07" w:rsidR="00F84FB2" w:rsidRPr="00950BDB" w:rsidRDefault="007434BC" w:rsidP="00D54D9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Drive the </w:t>
            </w:r>
            <w:r w:rsidR="00F84FB2" w:rsidRPr="00F84FB2">
              <w:rPr>
                <w:sz w:val="20"/>
                <w:szCs w:val="20"/>
              </w:rPr>
              <w:t xml:space="preserve">development of </w:t>
            </w:r>
            <w:r w:rsidR="005245C4">
              <w:rPr>
                <w:sz w:val="20"/>
                <w:szCs w:val="20"/>
              </w:rPr>
              <w:t xml:space="preserve">strategic </w:t>
            </w:r>
            <w:r w:rsidR="007403BD">
              <w:rPr>
                <w:sz w:val="20"/>
                <w:szCs w:val="20"/>
              </w:rPr>
              <w:t xml:space="preserve">frameworks </w:t>
            </w:r>
            <w:r w:rsidR="00950BDB">
              <w:rPr>
                <w:sz w:val="20"/>
                <w:szCs w:val="20"/>
              </w:rPr>
              <w:t xml:space="preserve">to guide the long-term approach to scholarships and fees, including </w:t>
            </w:r>
            <w:r w:rsidR="00535F3A" w:rsidRPr="00950BDB">
              <w:rPr>
                <w:sz w:val="20"/>
                <w:szCs w:val="20"/>
              </w:rPr>
              <w:t>overarching guiding principles</w:t>
            </w:r>
            <w:r w:rsidR="00DB07C1" w:rsidRPr="00950BDB">
              <w:rPr>
                <w:sz w:val="20"/>
                <w:szCs w:val="20"/>
              </w:rPr>
              <w:t xml:space="preserve">, </w:t>
            </w:r>
            <w:r w:rsidR="00D96777" w:rsidRPr="00950BDB">
              <w:rPr>
                <w:sz w:val="20"/>
                <w:szCs w:val="20"/>
              </w:rPr>
              <w:t xml:space="preserve">clear </w:t>
            </w:r>
            <w:r w:rsidR="00DB07C1" w:rsidRPr="00950BDB">
              <w:rPr>
                <w:sz w:val="20"/>
                <w:szCs w:val="20"/>
              </w:rPr>
              <w:t>definitions</w:t>
            </w:r>
            <w:r w:rsidR="00644B32" w:rsidRPr="00950BDB">
              <w:rPr>
                <w:sz w:val="20"/>
                <w:szCs w:val="20"/>
              </w:rPr>
              <w:t xml:space="preserve"> and </w:t>
            </w:r>
            <w:r w:rsidR="00535F3A" w:rsidRPr="00950BDB">
              <w:rPr>
                <w:sz w:val="20"/>
                <w:szCs w:val="20"/>
              </w:rPr>
              <w:t>success measures</w:t>
            </w:r>
            <w:r w:rsidR="00962789">
              <w:rPr>
                <w:sz w:val="20"/>
                <w:szCs w:val="20"/>
              </w:rPr>
              <w:t>;</w:t>
            </w:r>
          </w:p>
          <w:p w14:paraId="205E2B2D" w14:textId="768EBB52" w:rsidR="00F556AA" w:rsidRDefault="00F556AA" w:rsidP="00D54D9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evaluate the</w:t>
            </w:r>
            <w:r w:rsidR="00EE5B8E">
              <w:rPr>
                <w:sz w:val="20"/>
                <w:szCs w:val="20"/>
              </w:rPr>
              <w:t xml:space="preserve"> ongoing</w:t>
            </w:r>
            <w:r>
              <w:rPr>
                <w:sz w:val="20"/>
                <w:szCs w:val="20"/>
              </w:rPr>
              <w:t xml:space="preserve"> effectiveness and impact of ACU’s scholarships and fees, identifying opportunities for enhancement</w:t>
            </w:r>
            <w:r w:rsidR="007431E3">
              <w:rPr>
                <w:sz w:val="20"/>
                <w:szCs w:val="20"/>
              </w:rPr>
              <w:t xml:space="preserve"> and optimisation</w:t>
            </w:r>
            <w:r w:rsidR="00DA4307">
              <w:rPr>
                <w:sz w:val="20"/>
                <w:szCs w:val="20"/>
              </w:rPr>
              <w:t xml:space="preserve"> in line</w:t>
            </w:r>
            <w:r w:rsidR="00C85162">
              <w:rPr>
                <w:sz w:val="20"/>
                <w:szCs w:val="20"/>
              </w:rPr>
              <w:t xml:space="preserve"> with the university’s internal and external context</w:t>
            </w:r>
            <w:r w:rsidR="00962789">
              <w:rPr>
                <w:sz w:val="20"/>
                <w:szCs w:val="20"/>
              </w:rPr>
              <w:t>;</w:t>
            </w:r>
          </w:p>
          <w:p w14:paraId="2E7F1C3C" w14:textId="2B982537" w:rsidR="0060381E" w:rsidRPr="00F84FB2" w:rsidRDefault="003D696E" w:rsidP="00D54D9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Oversee and </w:t>
            </w:r>
            <w:r w:rsidR="00C66089">
              <w:rPr>
                <w:sz w:val="20"/>
                <w:szCs w:val="20"/>
              </w:rPr>
              <w:t>endorse</w:t>
            </w:r>
            <w:r>
              <w:rPr>
                <w:sz w:val="20"/>
                <w:szCs w:val="20"/>
              </w:rPr>
              <w:t xml:space="preserve"> the introduction of new scholarship offering</w:t>
            </w:r>
            <w:r w:rsidR="001E6A13">
              <w:rPr>
                <w:sz w:val="20"/>
                <w:szCs w:val="20"/>
              </w:rPr>
              <w:t>s</w:t>
            </w:r>
            <w:r w:rsidR="00AD0713">
              <w:rPr>
                <w:sz w:val="20"/>
                <w:szCs w:val="20"/>
              </w:rPr>
              <w:t xml:space="preserve"> and adjustments to existing offerings</w:t>
            </w:r>
            <w:r w:rsidR="003C75CC">
              <w:rPr>
                <w:sz w:val="20"/>
                <w:szCs w:val="20"/>
              </w:rPr>
              <w:t xml:space="preserve"> to </w:t>
            </w:r>
            <w:r w:rsidR="005D07C2">
              <w:rPr>
                <w:sz w:val="20"/>
                <w:szCs w:val="20"/>
              </w:rPr>
              <w:t xml:space="preserve">ensure ACU has a </w:t>
            </w:r>
            <w:r w:rsidR="00BF1416">
              <w:rPr>
                <w:sz w:val="20"/>
                <w:szCs w:val="20"/>
              </w:rPr>
              <w:t>comprehensive</w:t>
            </w:r>
            <w:r w:rsidR="005F41E1">
              <w:rPr>
                <w:sz w:val="20"/>
                <w:szCs w:val="20"/>
              </w:rPr>
              <w:t xml:space="preserve"> and</w:t>
            </w:r>
            <w:r w:rsidR="00BF1416">
              <w:rPr>
                <w:sz w:val="20"/>
                <w:szCs w:val="20"/>
              </w:rPr>
              <w:t xml:space="preserve"> long-term</w:t>
            </w:r>
            <w:r w:rsidR="005F41E1">
              <w:rPr>
                <w:sz w:val="20"/>
                <w:szCs w:val="20"/>
              </w:rPr>
              <w:t xml:space="preserve"> view</w:t>
            </w:r>
            <w:r w:rsidR="00BF1416">
              <w:rPr>
                <w:sz w:val="20"/>
                <w:szCs w:val="20"/>
              </w:rPr>
              <w:t xml:space="preserve"> of its</w:t>
            </w:r>
            <w:r w:rsidR="005D07C2">
              <w:rPr>
                <w:sz w:val="20"/>
                <w:szCs w:val="20"/>
              </w:rPr>
              <w:t xml:space="preserve"> financial commitments</w:t>
            </w:r>
            <w:r w:rsidR="00962789">
              <w:rPr>
                <w:sz w:val="20"/>
                <w:szCs w:val="20"/>
              </w:rPr>
              <w:t>;</w:t>
            </w:r>
          </w:p>
          <w:p w14:paraId="605E9ACF" w14:textId="77777777" w:rsidR="007C4D23" w:rsidRDefault="00F84FB2" w:rsidP="00D54D9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2" w:hanging="357"/>
              <w:rPr>
                <w:sz w:val="20"/>
                <w:szCs w:val="20"/>
              </w:rPr>
            </w:pPr>
            <w:r w:rsidRPr="00F84FB2">
              <w:rPr>
                <w:sz w:val="20"/>
                <w:szCs w:val="20"/>
              </w:rPr>
              <w:t xml:space="preserve">Direct </w:t>
            </w:r>
            <w:r w:rsidR="00AE13F6">
              <w:rPr>
                <w:sz w:val="20"/>
                <w:szCs w:val="20"/>
              </w:rPr>
              <w:t>and oversee</w:t>
            </w:r>
            <w:r w:rsidR="002C0F68">
              <w:rPr>
                <w:sz w:val="20"/>
                <w:szCs w:val="20"/>
              </w:rPr>
              <w:t xml:space="preserve"> </w:t>
            </w:r>
            <w:r w:rsidRPr="00F84FB2">
              <w:rPr>
                <w:sz w:val="20"/>
                <w:szCs w:val="20"/>
              </w:rPr>
              <w:t xml:space="preserve">the work </w:t>
            </w:r>
            <w:r w:rsidR="002C0F68">
              <w:rPr>
                <w:sz w:val="20"/>
                <w:szCs w:val="20"/>
              </w:rPr>
              <w:t xml:space="preserve">undertaken and </w:t>
            </w:r>
            <w:r w:rsidRPr="00F84FB2">
              <w:rPr>
                <w:sz w:val="20"/>
                <w:szCs w:val="20"/>
              </w:rPr>
              <w:t xml:space="preserve">required </w:t>
            </w:r>
            <w:r w:rsidR="002C0F68">
              <w:rPr>
                <w:sz w:val="20"/>
                <w:szCs w:val="20"/>
              </w:rPr>
              <w:t xml:space="preserve">by the </w:t>
            </w:r>
            <w:r w:rsidRPr="00F84FB2">
              <w:rPr>
                <w:sz w:val="20"/>
                <w:szCs w:val="20"/>
              </w:rPr>
              <w:t>Scholarship</w:t>
            </w:r>
            <w:r w:rsidR="006B0E8E">
              <w:rPr>
                <w:sz w:val="20"/>
                <w:szCs w:val="20"/>
              </w:rPr>
              <w:t>s</w:t>
            </w:r>
            <w:r w:rsidRPr="00F84FB2">
              <w:rPr>
                <w:sz w:val="20"/>
                <w:szCs w:val="20"/>
              </w:rPr>
              <w:t xml:space="preserve"> Operational Group</w:t>
            </w:r>
            <w:r w:rsidR="00D33406">
              <w:rPr>
                <w:sz w:val="20"/>
                <w:szCs w:val="20"/>
              </w:rPr>
              <w:t xml:space="preserve"> and Fees Operational Gro</w:t>
            </w:r>
            <w:r w:rsidR="00C028A0">
              <w:rPr>
                <w:sz w:val="20"/>
                <w:szCs w:val="20"/>
              </w:rPr>
              <w:t>u</w:t>
            </w:r>
            <w:r w:rsidR="00D33406">
              <w:rPr>
                <w:sz w:val="20"/>
                <w:szCs w:val="20"/>
              </w:rPr>
              <w:t>p</w:t>
            </w:r>
            <w:r w:rsidRPr="00F84FB2">
              <w:rPr>
                <w:sz w:val="20"/>
                <w:szCs w:val="20"/>
              </w:rPr>
              <w:t xml:space="preserve">. </w:t>
            </w:r>
          </w:p>
          <w:p w14:paraId="54658EDF" w14:textId="77777777" w:rsidR="0043590F" w:rsidRDefault="0043590F" w:rsidP="00D54D98">
            <w:pPr>
              <w:spacing w:line="276" w:lineRule="auto"/>
              <w:rPr>
                <w:sz w:val="20"/>
                <w:szCs w:val="20"/>
              </w:rPr>
            </w:pPr>
          </w:p>
          <w:p w14:paraId="2370D4E9" w14:textId="1B056015" w:rsidR="0043590F" w:rsidRPr="0043590F" w:rsidRDefault="0043590F" w:rsidP="00D54D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Steering Committee </w:t>
            </w:r>
            <w:r w:rsidR="00624545">
              <w:rPr>
                <w:sz w:val="20"/>
                <w:szCs w:val="20"/>
              </w:rPr>
              <w:t xml:space="preserve">reports to the Vice-Chancellor’s Management Committee (VCMC) and is </w:t>
            </w:r>
            <w:r>
              <w:rPr>
                <w:sz w:val="20"/>
                <w:szCs w:val="20"/>
              </w:rPr>
              <w:t>supported by two operational groups</w:t>
            </w:r>
            <w:r w:rsidR="0067158B">
              <w:rPr>
                <w:sz w:val="20"/>
                <w:szCs w:val="20"/>
              </w:rPr>
              <w:t xml:space="preserve"> that </w:t>
            </w:r>
            <w:r>
              <w:rPr>
                <w:sz w:val="20"/>
                <w:szCs w:val="20"/>
              </w:rPr>
              <w:t>are responsible for the implementation and operationalisation</w:t>
            </w:r>
            <w:r w:rsidR="00BA406C">
              <w:rPr>
                <w:sz w:val="20"/>
                <w:szCs w:val="20"/>
              </w:rPr>
              <w:t xml:space="preserve"> of scholarships and fee processes across ACU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</w:tbl>
    <w:p w14:paraId="39879C4B" w14:textId="7CAC675F" w:rsidR="002329A8" w:rsidRDefault="002329A8" w:rsidP="00C04E1F"/>
    <w:sectPr w:rsidR="002329A8" w:rsidSect="00DC157C">
      <w:headerReference w:type="default" r:id="rId8"/>
      <w:footerReference w:type="default" r:id="rId9"/>
      <w:headerReference w:type="first" r:id="rId10"/>
      <w:pgSz w:w="11906" w:h="16838"/>
      <w:pgMar w:top="1440" w:right="707" w:bottom="993" w:left="709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EDFF" w14:textId="77777777" w:rsidR="00E04490" w:rsidRDefault="00E04490" w:rsidP="009854B0">
      <w:pPr>
        <w:spacing w:line="240" w:lineRule="auto"/>
      </w:pPr>
      <w:r>
        <w:separator/>
      </w:r>
    </w:p>
  </w:endnote>
  <w:endnote w:type="continuationSeparator" w:id="0">
    <w:p w14:paraId="2BFD16BC" w14:textId="77777777" w:rsidR="00E04490" w:rsidRDefault="00E04490" w:rsidP="00985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Bold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B1A0" w14:textId="77777777" w:rsidR="009854B0" w:rsidRPr="009854B0" w:rsidRDefault="009854B0" w:rsidP="009854B0">
    <w:pPr>
      <w:pStyle w:val="Footer"/>
      <w:rPr>
        <w:rFonts w:cs="Arial"/>
        <w:caps/>
        <w:color w:val="3A3634"/>
        <w:sz w:val="16"/>
        <w:szCs w:val="16"/>
      </w:rPr>
    </w:pPr>
    <w:r w:rsidRPr="009854B0">
      <w:rPr>
        <w:rFonts w:cs="Arial"/>
        <w:caps/>
        <w:color w:val="3A3634"/>
        <w:sz w:val="16"/>
        <w:szCs w:val="16"/>
      </w:rPr>
      <w:fldChar w:fldCharType="begin"/>
    </w:r>
    <w:r w:rsidRPr="009854B0">
      <w:rPr>
        <w:rFonts w:cs="Arial"/>
        <w:caps/>
        <w:color w:val="3A3634"/>
        <w:sz w:val="16"/>
        <w:szCs w:val="16"/>
      </w:rPr>
      <w:instrText xml:space="preserve"> PAGE   \* MERGEFORMAT </w:instrText>
    </w:r>
    <w:r w:rsidRPr="009854B0">
      <w:rPr>
        <w:rFonts w:cs="Arial"/>
        <w:caps/>
        <w:color w:val="3A3634"/>
        <w:sz w:val="16"/>
        <w:szCs w:val="16"/>
      </w:rPr>
      <w:fldChar w:fldCharType="separate"/>
    </w:r>
    <w:r w:rsidRPr="009854B0">
      <w:rPr>
        <w:rFonts w:cs="Arial"/>
        <w:caps/>
        <w:color w:val="3A3634"/>
        <w:sz w:val="16"/>
        <w:szCs w:val="16"/>
      </w:rPr>
      <w:t>2</w:t>
    </w:r>
    <w:r w:rsidRPr="009854B0">
      <w:rPr>
        <w:rFonts w:cs="Arial"/>
        <w:caps/>
        <w:noProof/>
        <w:color w:val="3A3634"/>
        <w:sz w:val="16"/>
        <w:szCs w:val="16"/>
      </w:rPr>
      <w:fldChar w:fldCharType="end"/>
    </w:r>
    <w:r w:rsidRPr="009854B0">
      <w:rPr>
        <w:rFonts w:cs="Arial"/>
        <w:caps/>
        <w:noProof/>
        <w:color w:val="3A3634"/>
        <w:sz w:val="16"/>
        <w:szCs w:val="16"/>
      </w:rPr>
      <w:t xml:space="preserve"> | document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F188" w14:textId="77777777" w:rsidR="00E04490" w:rsidRDefault="00E04490" w:rsidP="009854B0">
      <w:pPr>
        <w:spacing w:line="240" w:lineRule="auto"/>
      </w:pPr>
      <w:r>
        <w:separator/>
      </w:r>
    </w:p>
  </w:footnote>
  <w:footnote w:type="continuationSeparator" w:id="0">
    <w:p w14:paraId="3958F82E" w14:textId="77777777" w:rsidR="00E04490" w:rsidRDefault="00E04490" w:rsidP="009854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3E67" w14:textId="6BC37EEB" w:rsidR="008B7809" w:rsidRDefault="008B780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45E90045" wp14:editId="0309F6A6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1602000" cy="579600"/>
          <wp:effectExtent l="0" t="0" r="0" b="0"/>
          <wp:wrapNone/>
          <wp:docPr id="261558625" name="Picture 261558625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A44D" w14:textId="79A318EE" w:rsidR="008E0536" w:rsidRDefault="008E053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73F3A67F" wp14:editId="3047EFC2">
          <wp:simplePos x="0" y="0"/>
          <wp:positionH relativeFrom="margin">
            <wp:posOffset>2529840</wp:posOffset>
          </wp:positionH>
          <wp:positionV relativeFrom="paragraph">
            <wp:posOffset>14605</wp:posOffset>
          </wp:positionV>
          <wp:extent cx="1601470" cy="579120"/>
          <wp:effectExtent l="0" t="0" r="0" b="0"/>
          <wp:wrapNone/>
          <wp:docPr id="1903984625" name="Picture 1903984625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14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97AF7" w14:textId="508C3E17" w:rsidR="008E0536" w:rsidRDefault="008E0536">
    <w:pPr>
      <w:pStyle w:val="Header"/>
    </w:pPr>
  </w:p>
  <w:p w14:paraId="5437EA1C" w14:textId="0B294ECA" w:rsidR="008E0536" w:rsidRDefault="008E0536">
    <w:pPr>
      <w:pStyle w:val="Header"/>
    </w:pPr>
  </w:p>
  <w:p w14:paraId="6B7D9408" w14:textId="77777777" w:rsidR="008E0536" w:rsidRDefault="008E0536">
    <w:pPr>
      <w:pStyle w:val="Header"/>
    </w:pPr>
  </w:p>
  <w:p w14:paraId="0CA3506E" w14:textId="77777777" w:rsidR="008E0536" w:rsidRDefault="008E0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EDB"/>
    <w:multiLevelType w:val="hybridMultilevel"/>
    <w:tmpl w:val="47DC40F2"/>
    <w:lvl w:ilvl="0" w:tplc="D18681F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7779"/>
    <w:multiLevelType w:val="hybridMultilevel"/>
    <w:tmpl w:val="BAF60834"/>
    <w:lvl w:ilvl="0" w:tplc="CC38FF88">
      <w:numFmt w:val="bullet"/>
      <w:lvlText w:val="-"/>
      <w:lvlJc w:val="left"/>
      <w:pPr>
        <w:ind w:left="1233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" w15:restartNumberingAfterBreak="0">
    <w:nsid w:val="6E4D4E46"/>
    <w:multiLevelType w:val="hybridMultilevel"/>
    <w:tmpl w:val="18640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341BB"/>
    <w:multiLevelType w:val="hybridMultilevel"/>
    <w:tmpl w:val="D3BA1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05549">
    <w:abstractNumId w:val="3"/>
  </w:num>
  <w:num w:numId="2" w16cid:durableId="1814062876">
    <w:abstractNumId w:val="0"/>
  </w:num>
  <w:num w:numId="3" w16cid:durableId="67963990">
    <w:abstractNumId w:val="2"/>
  </w:num>
  <w:num w:numId="4" w16cid:durableId="25290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B0"/>
    <w:rsid w:val="000075F1"/>
    <w:rsid w:val="00022EF7"/>
    <w:rsid w:val="00037642"/>
    <w:rsid w:val="00056682"/>
    <w:rsid w:val="000943F6"/>
    <w:rsid w:val="00096596"/>
    <w:rsid w:val="000A386F"/>
    <w:rsid w:val="000A7807"/>
    <w:rsid w:val="000B549A"/>
    <w:rsid w:val="000B5C70"/>
    <w:rsid w:val="000B6C2A"/>
    <w:rsid w:val="000C51B0"/>
    <w:rsid w:val="000C5611"/>
    <w:rsid w:val="000D7CB3"/>
    <w:rsid w:val="000F191C"/>
    <w:rsid w:val="000F59D5"/>
    <w:rsid w:val="0011202A"/>
    <w:rsid w:val="00126405"/>
    <w:rsid w:val="00166A82"/>
    <w:rsid w:val="00175675"/>
    <w:rsid w:val="00182AA6"/>
    <w:rsid w:val="00185D88"/>
    <w:rsid w:val="001957A7"/>
    <w:rsid w:val="001C7907"/>
    <w:rsid w:val="001D41D4"/>
    <w:rsid w:val="001D4BB4"/>
    <w:rsid w:val="001D7366"/>
    <w:rsid w:val="001E6A13"/>
    <w:rsid w:val="001E7571"/>
    <w:rsid w:val="001F2015"/>
    <w:rsid w:val="001F5A12"/>
    <w:rsid w:val="002329A8"/>
    <w:rsid w:val="0023568A"/>
    <w:rsid w:val="00253FEA"/>
    <w:rsid w:val="00257651"/>
    <w:rsid w:val="00282619"/>
    <w:rsid w:val="00286201"/>
    <w:rsid w:val="002904D2"/>
    <w:rsid w:val="002A1132"/>
    <w:rsid w:val="002B56EE"/>
    <w:rsid w:val="002B69B8"/>
    <w:rsid w:val="002C0F68"/>
    <w:rsid w:val="002C2523"/>
    <w:rsid w:val="002C2C63"/>
    <w:rsid w:val="002D551F"/>
    <w:rsid w:val="002E42E6"/>
    <w:rsid w:val="002F19C0"/>
    <w:rsid w:val="00304EB0"/>
    <w:rsid w:val="00315A8A"/>
    <w:rsid w:val="0032043F"/>
    <w:rsid w:val="00342BFB"/>
    <w:rsid w:val="003509D8"/>
    <w:rsid w:val="003805B5"/>
    <w:rsid w:val="00381C9B"/>
    <w:rsid w:val="00391B11"/>
    <w:rsid w:val="00392429"/>
    <w:rsid w:val="003A3EE0"/>
    <w:rsid w:val="003A5CDE"/>
    <w:rsid w:val="003B5C98"/>
    <w:rsid w:val="003C75CC"/>
    <w:rsid w:val="003D4082"/>
    <w:rsid w:val="003D696E"/>
    <w:rsid w:val="003E7C00"/>
    <w:rsid w:val="003F36FF"/>
    <w:rsid w:val="004126B7"/>
    <w:rsid w:val="00420B41"/>
    <w:rsid w:val="00426A0A"/>
    <w:rsid w:val="0043590F"/>
    <w:rsid w:val="004363EE"/>
    <w:rsid w:val="00454E1B"/>
    <w:rsid w:val="0045590D"/>
    <w:rsid w:val="004571AD"/>
    <w:rsid w:val="0047100F"/>
    <w:rsid w:val="004851F7"/>
    <w:rsid w:val="00495519"/>
    <w:rsid w:val="004B0B63"/>
    <w:rsid w:val="004B15B5"/>
    <w:rsid w:val="004B538E"/>
    <w:rsid w:val="004B77B6"/>
    <w:rsid w:val="004C4593"/>
    <w:rsid w:val="004C700B"/>
    <w:rsid w:val="005237DE"/>
    <w:rsid w:val="005245C4"/>
    <w:rsid w:val="00535F3A"/>
    <w:rsid w:val="00563B20"/>
    <w:rsid w:val="00581D04"/>
    <w:rsid w:val="0059199B"/>
    <w:rsid w:val="005A422E"/>
    <w:rsid w:val="005B039E"/>
    <w:rsid w:val="005C43CF"/>
    <w:rsid w:val="005D07C2"/>
    <w:rsid w:val="005D22D2"/>
    <w:rsid w:val="005F41E1"/>
    <w:rsid w:val="0060381E"/>
    <w:rsid w:val="00603822"/>
    <w:rsid w:val="00613443"/>
    <w:rsid w:val="00624545"/>
    <w:rsid w:val="00644B32"/>
    <w:rsid w:val="00644CB6"/>
    <w:rsid w:val="0067158B"/>
    <w:rsid w:val="0067343F"/>
    <w:rsid w:val="006863DD"/>
    <w:rsid w:val="00690D7E"/>
    <w:rsid w:val="00690F2C"/>
    <w:rsid w:val="00693AAA"/>
    <w:rsid w:val="006A304C"/>
    <w:rsid w:val="006A37AD"/>
    <w:rsid w:val="006B0E8E"/>
    <w:rsid w:val="006B31EF"/>
    <w:rsid w:val="006B665E"/>
    <w:rsid w:val="006B76D8"/>
    <w:rsid w:val="006D3CAD"/>
    <w:rsid w:val="006E31BF"/>
    <w:rsid w:val="006E4DD4"/>
    <w:rsid w:val="00722543"/>
    <w:rsid w:val="00733AA1"/>
    <w:rsid w:val="007403BD"/>
    <w:rsid w:val="007431E3"/>
    <w:rsid w:val="007434BC"/>
    <w:rsid w:val="00752E4E"/>
    <w:rsid w:val="00757657"/>
    <w:rsid w:val="007768FB"/>
    <w:rsid w:val="007818C7"/>
    <w:rsid w:val="007850AF"/>
    <w:rsid w:val="007A3880"/>
    <w:rsid w:val="007A7876"/>
    <w:rsid w:val="007C457C"/>
    <w:rsid w:val="007C4D23"/>
    <w:rsid w:val="007C7981"/>
    <w:rsid w:val="007E7443"/>
    <w:rsid w:val="008264F5"/>
    <w:rsid w:val="00833F55"/>
    <w:rsid w:val="00860AB2"/>
    <w:rsid w:val="00863373"/>
    <w:rsid w:val="00864204"/>
    <w:rsid w:val="00870C73"/>
    <w:rsid w:val="008B0CE5"/>
    <w:rsid w:val="008B7809"/>
    <w:rsid w:val="008D3CE1"/>
    <w:rsid w:val="008E0536"/>
    <w:rsid w:val="00904531"/>
    <w:rsid w:val="00925169"/>
    <w:rsid w:val="00950BDB"/>
    <w:rsid w:val="00953E95"/>
    <w:rsid w:val="00960484"/>
    <w:rsid w:val="00962789"/>
    <w:rsid w:val="00967142"/>
    <w:rsid w:val="009817FC"/>
    <w:rsid w:val="00981885"/>
    <w:rsid w:val="00984151"/>
    <w:rsid w:val="009854B0"/>
    <w:rsid w:val="00991B04"/>
    <w:rsid w:val="00992AA7"/>
    <w:rsid w:val="009A5075"/>
    <w:rsid w:val="009D148C"/>
    <w:rsid w:val="009E16EF"/>
    <w:rsid w:val="009F65B6"/>
    <w:rsid w:val="00A05D6C"/>
    <w:rsid w:val="00A141E0"/>
    <w:rsid w:val="00A21D3B"/>
    <w:rsid w:val="00A27DB8"/>
    <w:rsid w:val="00A95335"/>
    <w:rsid w:val="00AA0778"/>
    <w:rsid w:val="00AA4595"/>
    <w:rsid w:val="00AA58F0"/>
    <w:rsid w:val="00AC444E"/>
    <w:rsid w:val="00AD0713"/>
    <w:rsid w:val="00AE07FA"/>
    <w:rsid w:val="00AE13F6"/>
    <w:rsid w:val="00AE31F1"/>
    <w:rsid w:val="00B237AB"/>
    <w:rsid w:val="00B34F0B"/>
    <w:rsid w:val="00B96669"/>
    <w:rsid w:val="00BA01DF"/>
    <w:rsid w:val="00BA406C"/>
    <w:rsid w:val="00BD0D4A"/>
    <w:rsid w:val="00BD29AD"/>
    <w:rsid w:val="00BE4EDC"/>
    <w:rsid w:val="00BE4EEA"/>
    <w:rsid w:val="00BE553D"/>
    <w:rsid w:val="00BF031E"/>
    <w:rsid w:val="00BF1416"/>
    <w:rsid w:val="00C028A0"/>
    <w:rsid w:val="00C04E1F"/>
    <w:rsid w:val="00C66089"/>
    <w:rsid w:val="00C80E24"/>
    <w:rsid w:val="00C85162"/>
    <w:rsid w:val="00CA7F6E"/>
    <w:rsid w:val="00CB5F1A"/>
    <w:rsid w:val="00CD69DD"/>
    <w:rsid w:val="00D15530"/>
    <w:rsid w:val="00D1604A"/>
    <w:rsid w:val="00D2220C"/>
    <w:rsid w:val="00D31730"/>
    <w:rsid w:val="00D33406"/>
    <w:rsid w:val="00D4132E"/>
    <w:rsid w:val="00D437E4"/>
    <w:rsid w:val="00D52229"/>
    <w:rsid w:val="00D52F1D"/>
    <w:rsid w:val="00D54D98"/>
    <w:rsid w:val="00D628F8"/>
    <w:rsid w:val="00D72D10"/>
    <w:rsid w:val="00D854B8"/>
    <w:rsid w:val="00D926A5"/>
    <w:rsid w:val="00D96777"/>
    <w:rsid w:val="00DA4307"/>
    <w:rsid w:val="00DB07C1"/>
    <w:rsid w:val="00DB59A9"/>
    <w:rsid w:val="00DC157C"/>
    <w:rsid w:val="00DC4184"/>
    <w:rsid w:val="00DD6D0A"/>
    <w:rsid w:val="00DD6F9A"/>
    <w:rsid w:val="00DD70B9"/>
    <w:rsid w:val="00DF7576"/>
    <w:rsid w:val="00E04490"/>
    <w:rsid w:val="00E31D39"/>
    <w:rsid w:val="00E47203"/>
    <w:rsid w:val="00E77198"/>
    <w:rsid w:val="00E80937"/>
    <w:rsid w:val="00EA336D"/>
    <w:rsid w:val="00EB5ACD"/>
    <w:rsid w:val="00EB60E1"/>
    <w:rsid w:val="00EC4971"/>
    <w:rsid w:val="00EC5A16"/>
    <w:rsid w:val="00EC6A33"/>
    <w:rsid w:val="00ED3D8A"/>
    <w:rsid w:val="00ED6F25"/>
    <w:rsid w:val="00EE2D99"/>
    <w:rsid w:val="00EE51B1"/>
    <w:rsid w:val="00EE5B8E"/>
    <w:rsid w:val="00EF54D8"/>
    <w:rsid w:val="00F012EC"/>
    <w:rsid w:val="00F134B3"/>
    <w:rsid w:val="00F27A61"/>
    <w:rsid w:val="00F5231D"/>
    <w:rsid w:val="00F54FD3"/>
    <w:rsid w:val="00F556AA"/>
    <w:rsid w:val="00F65872"/>
    <w:rsid w:val="00F8240B"/>
    <w:rsid w:val="00F84FB2"/>
    <w:rsid w:val="00F9337D"/>
    <w:rsid w:val="00FA3A87"/>
    <w:rsid w:val="00FA50D8"/>
    <w:rsid w:val="00FB196F"/>
    <w:rsid w:val="00FB2B17"/>
    <w:rsid w:val="00FB3675"/>
    <w:rsid w:val="00FC2493"/>
    <w:rsid w:val="00FC6C3A"/>
    <w:rsid w:val="00FE03E5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386D4"/>
  <w15:chartTrackingRefBased/>
  <w15:docId w15:val="{55D31884-D08D-4E9F-98DD-CF1864B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C3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4D8"/>
    <w:pPr>
      <w:keepNext/>
      <w:keepLines/>
      <w:outlineLvl w:val="0"/>
    </w:pPr>
    <w:rPr>
      <w:rFonts w:ascii="Nexa Bold" w:eastAsiaTheme="majorEastAsia" w:hAnsi="Nexa Bold" w:cstheme="majorBidi"/>
      <w:b/>
      <w:color w:val="3C1053" w:themeColor="text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UMajorHeading">
    <w:name w:val="ACUMajorHeading"/>
    <w:basedOn w:val="NoSpacing"/>
    <w:link w:val="ACUMajorHeadingChar"/>
    <w:qFormat/>
    <w:rsid w:val="009854B0"/>
    <w:pPr>
      <w:spacing w:after="714"/>
    </w:pPr>
    <w:rPr>
      <w:rFonts w:ascii="Arial" w:hAnsi="Arial"/>
      <w:b/>
      <w:color w:val="FFFFFF"/>
      <w:sz w:val="84"/>
      <w:szCs w:val="18"/>
    </w:rPr>
  </w:style>
  <w:style w:type="character" w:customStyle="1" w:styleId="ACUMajorHeadingChar">
    <w:name w:val="ACUMajorHeading Char"/>
    <w:basedOn w:val="DefaultParagraphFont"/>
    <w:link w:val="ACUMajorHeading"/>
    <w:rsid w:val="009854B0"/>
    <w:rPr>
      <w:rFonts w:ascii="Arial" w:hAnsi="Arial"/>
      <w:b/>
      <w:color w:val="FFFFFF"/>
      <w:sz w:val="84"/>
      <w:szCs w:val="18"/>
    </w:rPr>
  </w:style>
  <w:style w:type="paragraph" w:styleId="NoSpacing">
    <w:name w:val="No Spacing"/>
    <w:uiPriority w:val="1"/>
    <w:qFormat/>
    <w:rsid w:val="009854B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54B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B0"/>
  </w:style>
  <w:style w:type="paragraph" w:styleId="Footer">
    <w:name w:val="footer"/>
    <w:basedOn w:val="Normal"/>
    <w:link w:val="FooterChar"/>
    <w:uiPriority w:val="99"/>
    <w:unhideWhenUsed/>
    <w:rsid w:val="009854B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B0"/>
  </w:style>
  <w:style w:type="paragraph" w:styleId="TOC1">
    <w:name w:val="toc 1"/>
    <w:basedOn w:val="Normal"/>
    <w:next w:val="Normal"/>
    <w:autoRedefine/>
    <w:uiPriority w:val="39"/>
    <w:unhideWhenUsed/>
    <w:rsid w:val="00F134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134B3"/>
    <w:rPr>
      <w:color w:val="D60E27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54D8"/>
    <w:rPr>
      <w:rFonts w:ascii="Nexa Bold" w:eastAsiaTheme="majorEastAsia" w:hAnsi="Nexa Bold" w:cstheme="majorBidi"/>
      <w:b/>
      <w:color w:val="3C1053" w:themeColor="text2"/>
      <w:sz w:val="24"/>
      <w:szCs w:val="32"/>
    </w:rPr>
  </w:style>
  <w:style w:type="table" w:styleId="TableGrid">
    <w:name w:val="Table Grid"/>
    <w:basedOn w:val="TableNormal"/>
    <w:uiPriority w:val="39"/>
    <w:rsid w:val="008E05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C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5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D8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D88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5169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rand">
      <a:dk1>
        <a:srgbClr val="000000"/>
      </a:dk1>
      <a:lt1>
        <a:srgbClr val="F2120C"/>
      </a:lt1>
      <a:dk2>
        <a:srgbClr val="3C1053"/>
      </a:dk2>
      <a:lt2>
        <a:srgbClr val="3D3935"/>
      </a:lt2>
      <a:accent1>
        <a:srgbClr val="8C857B"/>
      </a:accent1>
      <a:accent2>
        <a:srgbClr val="E8E3DB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D60E27"/>
      </a:hlink>
      <a:folHlink>
        <a:srgbClr val="D60E2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B99D-282F-4C7B-93E5-964A4E41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2573</Characters>
  <Application>Microsoft Office Word</Application>
  <DocSecurity>0</DocSecurity>
  <Lines>64</Lines>
  <Paragraphs>44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Dickinson</dc:creator>
  <cp:keywords/>
  <dc:description/>
  <cp:lastModifiedBy>Catherine McKiver</cp:lastModifiedBy>
  <cp:revision>8</cp:revision>
  <dcterms:created xsi:type="dcterms:W3CDTF">2025-07-18T03:13:00Z</dcterms:created>
  <dcterms:modified xsi:type="dcterms:W3CDTF">2025-11-26T01:08:00Z</dcterms:modified>
</cp:coreProperties>
</file>