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B0B20" w14:textId="77777777" w:rsidR="00ED6FCC" w:rsidRPr="00B0289C" w:rsidRDefault="0096187F" w:rsidP="00FC63FC">
      <w:pPr>
        <w:tabs>
          <w:tab w:val="left" w:pos="-851"/>
        </w:tabs>
        <w:ind w:left="-709" w:hanging="709"/>
        <w:rPr>
          <w:sz w:val="20"/>
          <w:szCs w:val="20"/>
        </w:rPr>
      </w:pPr>
      <w:r w:rsidRPr="009048AA">
        <w:rPr>
          <w:sz w:val="22"/>
          <w:szCs w:val="22"/>
        </w:rPr>
        <w:softHyphen/>
      </w:r>
      <w:r w:rsidRPr="009048AA">
        <w:rPr>
          <w:sz w:val="22"/>
          <w:szCs w:val="22"/>
        </w:rPr>
        <w:softHyphen/>
      </w:r>
    </w:p>
    <w:p w14:paraId="57B690AF" w14:textId="77777777" w:rsidR="00ED6FCC" w:rsidRPr="0023557D" w:rsidRDefault="0023557D" w:rsidP="008A09DF">
      <w:pPr>
        <w:rPr>
          <w:u w:val="single"/>
        </w:rPr>
      </w:pPr>
      <w:r w:rsidRPr="0023557D">
        <w:rPr>
          <w:u w:val="single"/>
        </w:rPr>
        <w:t xml:space="preserve">Appendix 1: </w:t>
      </w:r>
    </w:p>
    <w:p w14:paraId="11D95D0C" w14:textId="77777777" w:rsidR="0023557D" w:rsidRDefault="0023557D" w:rsidP="0023557D">
      <w:pPr>
        <w:numPr>
          <w:ilvl w:val="12"/>
          <w:numId w:val="0"/>
        </w:numPr>
        <w:jc w:val="center"/>
        <w:rPr>
          <w:b/>
          <w:u w:val="single"/>
        </w:rPr>
      </w:pPr>
      <w:bookmarkStart w:id="0" w:name="_Toc126554981"/>
      <w:r w:rsidRPr="00F14A35">
        <w:rPr>
          <w:b/>
          <w:u w:val="single"/>
        </w:rPr>
        <w:t>Confidentiality Agreement</w:t>
      </w:r>
      <w:bookmarkEnd w:id="0"/>
    </w:p>
    <w:p w14:paraId="5AD3562C" w14:textId="77777777" w:rsidR="0023557D" w:rsidRDefault="0023557D" w:rsidP="0023557D">
      <w:pPr>
        <w:numPr>
          <w:ilvl w:val="12"/>
          <w:numId w:val="0"/>
        </w:numPr>
        <w:jc w:val="center"/>
        <w:rPr>
          <w:b/>
          <w:u w:val="single"/>
        </w:rPr>
      </w:pPr>
      <w:r w:rsidRPr="00F14A35">
        <w:rPr>
          <w:b/>
          <w:u w:val="single"/>
        </w:rPr>
        <w:t>Australian Catholic University Code of Conduct for All Staff</w:t>
      </w:r>
    </w:p>
    <w:p w14:paraId="789DB464" w14:textId="77777777" w:rsidR="0023557D" w:rsidRDefault="0023557D" w:rsidP="0023557D">
      <w:pPr>
        <w:jc w:val="right"/>
        <w:rPr>
          <w:bCs/>
          <w:i/>
          <w:sz w:val="18"/>
          <w:szCs w:val="18"/>
        </w:rPr>
      </w:pPr>
    </w:p>
    <w:p w14:paraId="551E5B6F" w14:textId="77777777" w:rsidR="0023557D" w:rsidRDefault="0023557D" w:rsidP="0023557D">
      <w:pPr>
        <w:jc w:val="right"/>
        <w:rPr>
          <w:bCs/>
          <w:i/>
          <w:sz w:val="18"/>
          <w:szCs w:val="18"/>
        </w:rPr>
      </w:pPr>
      <w:r w:rsidRPr="00135CB7">
        <w:rPr>
          <w:bCs/>
          <w:i/>
          <w:sz w:val="18"/>
          <w:szCs w:val="18"/>
        </w:rPr>
        <w:t>A Confidentiality Agreement must be obtaine</w:t>
      </w:r>
      <w:r>
        <w:rPr>
          <w:bCs/>
          <w:i/>
          <w:sz w:val="18"/>
          <w:szCs w:val="18"/>
        </w:rPr>
        <w:t>d from each party to an investigation</w:t>
      </w:r>
      <w:r w:rsidRPr="00135CB7">
        <w:rPr>
          <w:bCs/>
          <w:i/>
          <w:sz w:val="18"/>
          <w:szCs w:val="18"/>
        </w:rPr>
        <w:t xml:space="preserve">. </w:t>
      </w:r>
      <w:r w:rsidRPr="00135CB7">
        <w:rPr>
          <w:bCs/>
          <w:i/>
          <w:sz w:val="18"/>
          <w:szCs w:val="18"/>
        </w:rPr>
        <w:br/>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3557D" w:rsidRPr="00F14A35" w14:paraId="7AB97EF5" w14:textId="77777777" w:rsidTr="00CE480D">
        <w:tc>
          <w:tcPr>
            <w:tcW w:w="9639" w:type="dxa"/>
            <w:tcBorders>
              <w:top w:val="nil"/>
              <w:left w:val="nil"/>
              <w:bottom w:val="nil"/>
              <w:right w:val="nil"/>
            </w:tcBorders>
            <w:shd w:val="clear" w:color="auto" w:fill="E6E6E6"/>
          </w:tcPr>
          <w:p w14:paraId="08A69BF3" w14:textId="77777777" w:rsidR="0023557D" w:rsidRDefault="0023557D" w:rsidP="006E7292">
            <w:pPr>
              <w:overflowPunct w:val="0"/>
              <w:autoSpaceDE w:val="0"/>
              <w:autoSpaceDN w:val="0"/>
              <w:adjustRightInd w:val="0"/>
              <w:jc w:val="both"/>
              <w:textAlignment w:val="baseline"/>
              <w:rPr>
                <w:rFonts w:eastAsia="Batang"/>
                <w:bCs/>
              </w:rPr>
            </w:pPr>
            <w:r w:rsidRPr="00F14A35">
              <w:rPr>
                <w:rFonts w:eastAsia="Batang"/>
                <w:bCs/>
              </w:rPr>
              <w:t>A significant aspect of managing grievances/complaints/allegations and other issues involving staff at ACU is the issue of confidentiality. The following sets out the process for undertaking an enquiry/investigation into allegations or complaints raised which may</w:t>
            </w:r>
            <w:r>
              <w:rPr>
                <w:rFonts w:eastAsia="Batang"/>
                <w:bCs/>
              </w:rPr>
              <w:t>, if proven,</w:t>
            </w:r>
            <w:r w:rsidRPr="00F14A35">
              <w:rPr>
                <w:rFonts w:eastAsia="Batang"/>
                <w:bCs/>
              </w:rPr>
              <w:t xml:space="preserve"> constitute a breach of the ACU Code of Conduct for All Staff. Please read the document carefully. You are invited to ask any questions you may have prior to signing it.  You will be provided with a copy of this document.</w:t>
            </w:r>
          </w:p>
        </w:tc>
      </w:tr>
    </w:tbl>
    <w:p w14:paraId="39487A5C" w14:textId="77777777" w:rsidR="0023557D" w:rsidRDefault="0023557D" w:rsidP="0023557D">
      <w:pPr>
        <w:jc w:val="both"/>
        <w:rPr>
          <w:rFonts w:eastAsia="Batang"/>
          <w:bCs/>
        </w:rPr>
      </w:pPr>
    </w:p>
    <w:p w14:paraId="2C8AF0EB" w14:textId="77777777" w:rsidR="0023557D" w:rsidRDefault="0023557D" w:rsidP="0023557D">
      <w:pPr>
        <w:numPr>
          <w:ilvl w:val="0"/>
          <w:numId w:val="10"/>
        </w:numPr>
        <w:tabs>
          <w:tab w:val="clear" w:pos="720"/>
        </w:tabs>
        <w:ind w:left="284" w:hanging="284"/>
        <w:jc w:val="both"/>
        <w:rPr>
          <w:bCs/>
        </w:rPr>
      </w:pPr>
      <w:r>
        <w:rPr>
          <w:bCs/>
        </w:rPr>
        <w:t xml:space="preserve">The University has decided to institute </w:t>
      </w:r>
      <w:r w:rsidRPr="00F14A35">
        <w:rPr>
          <w:bCs/>
        </w:rPr>
        <w:t>an enquiry/investigation into the issues involved</w:t>
      </w:r>
      <w:r>
        <w:rPr>
          <w:bCs/>
        </w:rPr>
        <w:t xml:space="preserve"> which have been raised by staff via </w:t>
      </w:r>
      <w:r w:rsidRPr="00F14A35">
        <w:rPr>
          <w:bCs/>
        </w:rPr>
        <w:t xml:space="preserve">a </w:t>
      </w:r>
      <w:r>
        <w:rPr>
          <w:bCs/>
        </w:rPr>
        <w:t xml:space="preserve">grievance, </w:t>
      </w:r>
      <w:r w:rsidRPr="00F14A35">
        <w:rPr>
          <w:bCs/>
        </w:rPr>
        <w:t>complaint</w:t>
      </w:r>
      <w:r>
        <w:rPr>
          <w:bCs/>
        </w:rPr>
        <w:t xml:space="preserve">, or other </w:t>
      </w:r>
      <w:r w:rsidRPr="00F14A35">
        <w:rPr>
          <w:bCs/>
        </w:rPr>
        <w:t xml:space="preserve">allegation/s. If you are one of the parties or a witness involved in an investigation, you may bring a support person (observer) with you to the interview with the Investigator. (If you are the </w:t>
      </w:r>
      <w:r w:rsidRPr="00F14A35">
        <w:rPr>
          <w:b/>
          <w:bCs/>
        </w:rPr>
        <w:t xml:space="preserve">Observer </w:t>
      </w:r>
      <w:r w:rsidRPr="00F14A35">
        <w:rPr>
          <w:bCs/>
        </w:rPr>
        <w:t>(support person) your role is to observe the interview only</w:t>
      </w:r>
      <w:r>
        <w:rPr>
          <w:bCs/>
        </w:rPr>
        <w:t>).</w:t>
      </w:r>
      <w:r w:rsidRPr="00F14A35">
        <w:rPr>
          <w:bCs/>
        </w:rPr>
        <w:t xml:space="preserve"> The interview can be halted at any time if you wish to take a break and reconvene at a later time. </w:t>
      </w:r>
    </w:p>
    <w:p w14:paraId="69492483" w14:textId="77777777" w:rsidR="0023557D" w:rsidRDefault="0023557D" w:rsidP="0023557D">
      <w:pPr>
        <w:ind w:left="284"/>
        <w:jc w:val="both"/>
        <w:rPr>
          <w:bCs/>
        </w:rPr>
      </w:pPr>
    </w:p>
    <w:p w14:paraId="360A97D2" w14:textId="77777777" w:rsidR="0023557D" w:rsidRDefault="0023557D" w:rsidP="0023557D">
      <w:pPr>
        <w:numPr>
          <w:ilvl w:val="0"/>
          <w:numId w:val="10"/>
        </w:numPr>
        <w:tabs>
          <w:tab w:val="clear" w:pos="720"/>
        </w:tabs>
        <w:ind w:left="284" w:hanging="284"/>
        <w:jc w:val="both"/>
        <w:rPr>
          <w:bCs/>
        </w:rPr>
      </w:pPr>
      <w:r w:rsidRPr="00F14A35">
        <w:rPr>
          <w:bCs/>
        </w:rPr>
        <w:t>Your co-operation in establishing the circumstances surrounding the matter is fundam</w:t>
      </w:r>
      <w:r>
        <w:rPr>
          <w:bCs/>
        </w:rPr>
        <w:t>ental to the</w:t>
      </w:r>
      <w:r w:rsidRPr="00F14A35">
        <w:rPr>
          <w:bCs/>
        </w:rPr>
        <w:t xml:space="preserve"> process of </w:t>
      </w:r>
      <w:r>
        <w:rPr>
          <w:bCs/>
        </w:rPr>
        <w:t xml:space="preserve">ensuring </w:t>
      </w:r>
      <w:r w:rsidRPr="00F14A35">
        <w:rPr>
          <w:bCs/>
        </w:rPr>
        <w:t>natural justice.  Therefore your full and truthful witness is sought.</w:t>
      </w:r>
    </w:p>
    <w:p w14:paraId="4F6F3226" w14:textId="77777777" w:rsidR="0023557D" w:rsidRDefault="0023557D" w:rsidP="0023557D">
      <w:pPr>
        <w:jc w:val="both"/>
        <w:rPr>
          <w:bCs/>
        </w:rPr>
      </w:pPr>
    </w:p>
    <w:p w14:paraId="77E3B3FE" w14:textId="77777777" w:rsidR="0023557D" w:rsidRDefault="0023557D" w:rsidP="0023557D">
      <w:pPr>
        <w:numPr>
          <w:ilvl w:val="0"/>
          <w:numId w:val="10"/>
        </w:numPr>
        <w:tabs>
          <w:tab w:val="clear" w:pos="720"/>
        </w:tabs>
        <w:ind w:left="284" w:hanging="284"/>
        <w:jc w:val="both"/>
        <w:rPr>
          <w:bCs/>
        </w:rPr>
      </w:pPr>
      <w:r w:rsidRPr="00F14A35">
        <w:rPr>
          <w:rFonts w:eastAsia="Batang"/>
          <w:b/>
          <w:bCs/>
        </w:rPr>
        <w:t>Appropriate confidentiality must be observed by all parties involved.</w:t>
      </w:r>
      <w:r w:rsidRPr="00F14A35">
        <w:rPr>
          <w:bCs/>
        </w:rPr>
        <w:t xml:space="preserve"> This means that </w:t>
      </w:r>
      <w:r w:rsidRPr="00F14A35">
        <w:rPr>
          <w:bCs/>
          <w:u w:val="single"/>
        </w:rPr>
        <w:t>there must be no discussion</w:t>
      </w:r>
      <w:r w:rsidRPr="00F14A35">
        <w:rPr>
          <w:bCs/>
        </w:rPr>
        <w:t xml:space="preserve"> by you with other people about the facts or substance of the details of interview or the allegations. Discussions with health, legal or other advisers or nominated senior officers of Australian Catholic University are permitted if you clearly state to those involved that all such discussions are confidential.</w:t>
      </w:r>
    </w:p>
    <w:p w14:paraId="757D0F75" w14:textId="77777777" w:rsidR="0023557D" w:rsidRDefault="0023557D" w:rsidP="0023557D">
      <w:pPr>
        <w:jc w:val="both"/>
        <w:rPr>
          <w:bCs/>
        </w:rPr>
      </w:pPr>
    </w:p>
    <w:p w14:paraId="59C6E2D4" w14:textId="77777777" w:rsidR="0023557D" w:rsidRDefault="0023557D" w:rsidP="0023557D">
      <w:pPr>
        <w:numPr>
          <w:ilvl w:val="0"/>
          <w:numId w:val="10"/>
        </w:numPr>
        <w:tabs>
          <w:tab w:val="clear" w:pos="720"/>
        </w:tabs>
        <w:ind w:left="284" w:hanging="284"/>
        <w:jc w:val="both"/>
        <w:rPr>
          <w:bCs/>
        </w:rPr>
      </w:pPr>
      <w:r w:rsidRPr="00F14A35">
        <w:rPr>
          <w:bCs/>
        </w:rPr>
        <w:t>Breach of confidentiality would be viewed seriously by the University and may result in disciplinary action.</w:t>
      </w:r>
    </w:p>
    <w:p w14:paraId="3DF8CB70" w14:textId="77777777" w:rsidR="0023557D" w:rsidRDefault="0023557D" w:rsidP="0023557D">
      <w:pPr>
        <w:jc w:val="both"/>
        <w:rPr>
          <w:bCs/>
        </w:rPr>
      </w:pPr>
    </w:p>
    <w:p w14:paraId="0CA15B29" w14:textId="77777777" w:rsidR="0023557D" w:rsidRDefault="0023557D" w:rsidP="0023557D">
      <w:pPr>
        <w:numPr>
          <w:ilvl w:val="0"/>
          <w:numId w:val="10"/>
        </w:numPr>
        <w:tabs>
          <w:tab w:val="clear" w:pos="720"/>
        </w:tabs>
        <w:ind w:left="284" w:hanging="284"/>
        <w:jc w:val="both"/>
        <w:rPr>
          <w:bCs/>
        </w:rPr>
      </w:pPr>
      <w:r w:rsidRPr="00F14A35">
        <w:rPr>
          <w:bCs/>
        </w:rPr>
        <w:t xml:space="preserve">Untruthful or dishonest conduct in relation to any </w:t>
      </w:r>
      <w:r>
        <w:rPr>
          <w:bCs/>
        </w:rPr>
        <w:t xml:space="preserve">allegations, grievance or </w:t>
      </w:r>
      <w:r w:rsidRPr="00F14A35">
        <w:rPr>
          <w:bCs/>
        </w:rPr>
        <w:t>complaint, or conduct that could give rise to an allegation of victimisation by any other person invol</w:t>
      </w:r>
      <w:r>
        <w:rPr>
          <w:bCs/>
        </w:rPr>
        <w:t>ved in the</w:t>
      </w:r>
      <w:r w:rsidRPr="00F14A35">
        <w:rPr>
          <w:bCs/>
        </w:rPr>
        <w:t xml:space="preserve"> process, would be viewed seriously by the University and may result in disciplinary action. </w:t>
      </w:r>
    </w:p>
    <w:p w14:paraId="2532F4B6" w14:textId="77777777" w:rsidR="0023557D" w:rsidRDefault="0023557D" w:rsidP="0023557D">
      <w:pPr>
        <w:ind w:left="284"/>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565"/>
      </w:tblGrid>
      <w:tr w:rsidR="0023557D" w:rsidRPr="00F14A35" w14:paraId="474ABC8C" w14:textId="77777777" w:rsidTr="006E7292">
        <w:tc>
          <w:tcPr>
            <w:tcW w:w="9343" w:type="dxa"/>
            <w:gridSpan w:val="2"/>
            <w:tcBorders>
              <w:bottom w:val="single" w:sz="4" w:space="0" w:color="auto"/>
            </w:tcBorders>
          </w:tcPr>
          <w:p w14:paraId="2EE2A22A" w14:textId="77777777" w:rsidR="0023557D" w:rsidRDefault="0023557D" w:rsidP="006E7292">
            <w:pPr>
              <w:overflowPunct w:val="0"/>
              <w:autoSpaceDE w:val="0"/>
              <w:autoSpaceDN w:val="0"/>
              <w:adjustRightInd w:val="0"/>
              <w:textAlignment w:val="baseline"/>
              <w:rPr>
                <w:b/>
                <w:bCs/>
                <w:i/>
                <w:u w:val="single"/>
              </w:rPr>
            </w:pPr>
            <w:r w:rsidRPr="00F14A35">
              <w:rPr>
                <w:b/>
                <w:bCs/>
                <w:i/>
                <w:u w:val="single"/>
              </w:rPr>
              <w:t xml:space="preserve">Confidentiality Agreement </w:t>
            </w:r>
          </w:p>
          <w:p w14:paraId="4773FA00" w14:textId="77777777" w:rsidR="0023557D" w:rsidRDefault="0023557D" w:rsidP="006E7292">
            <w:pPr>
              <w:overflowPunct w:val="0"/>
              <w:autoSpaceDE w:val="0"/>
              <w:autoSpaceDN w:val="0"/>
              <w:adjustRightInd w:val="0"/>
              <w:textAlignment w:val="baseline"/>
              <w:rPr>
                <w:i/>
              </w:rPr>
            </w:pPr>
            <w:r w:rsidRPr="00F14A35">
              <w:rPr>
                <w:bCs/>
                <w:i/>
              </w:rPr>
              <w:t>I have read and understand the above.</w:t>
            </w:r>
            <w:r w:rsidRPr="00F14A35">
              <w:rPr>
                <w:bCs/>
                <w:i/>
              </w:rPr>
              <w:br/>
              <w:t>I agree to observe the protocols outlined and maintain confidentiality.</w:t>
            </w:r>
          </w:p>
        </w:tc>
      </w:tr>
      <w:tr w:rsidR="0023557D" w:rsidRPr="00F14A35" w14:paraId="33E9B583" w14:textId="77777777" w:rsidTr="006E7292">
        <w:tc>
          <w:tcPr>
            <w:tcW w:w="9343" w:type="dxa"/>
            <w:gridSpan w:val="2"/>
            <w:tcBorders>
              <w:left w:val="nil"/>
              <w:bottom w:val="single" w:sz="4" w:space="0" w:color="auto"/>
              <w:right w:val="nil"/>
            </w:tcBorders>
          </w:tcPr>
          <w:p w14:paraId="19302BF1" w14:textId="77777777" w:rsidR="0023557D" w:rsidRDefault="0023557D" w:rsidP="006E7292">
            <w:pPr>
              <w:overflowPunct w:val="0"/>
              <w:autoSpaceDE w:val="0"/>
              <w:autoSpaceDN w:val="0"/>
              <w:adjustRightInd w:val="0"/>
              <w:ind w:right="-334"/>
              <w:textAlignment w:val="baseline"/>
            </w:pPr>
          </w:p>
          <w:p w14:paraId="6812714C" w14:textId="77777777" w:rsidR="0023557D" w:rsidRDefault="0023557D" w:rsidP="006E7292">
            <w:pPr>
              <w:overflowPunct w:val="0"/>
              <w:autoSpaceDE w:val="0"/>
              <w:autoSpaceDN w:val="0"/>
              <w:adjustRightInd w:val="0"/>
              <w:ind w:right="-334"/>
              <w:textAlignment w:val="baseline"/>
            </w:pPr>
          </w:p>
          <w:p w14:paraId="26916C05" w14:textId="77777777" w:rsidR="0023557D" w:rsidRDefault="0023557D" w:rsidP="006E7292">
            <w:pPr>
              <w:overflowPunct w:val="0"/>
              <w:autoSpaceDE w:val="0"/>
              <w:autoSpaceDN w:val="0"/>
              <w:adjustRightInd w:val="0"/>
              <w:ind w:right="-334"/>
              <w:textAlignment w:val="baseline"/>
            </w:pPr>
            <w:r w:rsidRPr="00F14A35">
              <w:t>Name (please print)</w:t>
            </w:r>
          </w:p>
        </w:tc>
      </w:tr>
      <w:tr w:rsidR="0023557D" w:rsidRPr="00F14A35" w14:paraId="44A96B8E" w14:textId="77777777" w:rsidTr="006E7292">
        <w:trPr>
          <w:trHeight w:val="380"/>
        </w:trPr>
        <w:tc>
          <w:tcPr>
            <w:tcW w:w="5778" w:type="dxa"/>
            <w:tcBorders>
              <w:top w:val="single" w:sz="4" w:space="0" w:color="auto"/>
              <w:left w:val="nil"/>
              <w:bottom w:val="single" w:sz="4" w:space="0" w:color="auto"/>
              <w:right w:val="single" w:sz="4" w:space="0" w:color="auto"/>
            </w:tcBorders>
          </w:tcPr>
          <w:p w14:paraId="27E53730" w14:textId="77777777" w:rsidR="0023557D" w:rsidRDefault="0023557D" w:rsidP="006E7292">
            <w:pPr>
              <w:overflowPunct w:val="0"/>
              <w:autoSpaceDE w:val="0"/>
              <w:autoSpaceDN w:val="0"/>
              <w:adjustRightInd w:val="0"/>
              <w:ind w:right="-335"/>
              <w:textAlignment w:val="baseline"/>
            </w:pPr>
          </w:p>
          <w:p w14:paraId="1F82E2B0" w14:textId="77777777" w:rsidR="0023557D" w:rsidRDefault="0023557D" w:rsidP="006E7292">
            <w:pPr>
              <w:overflowPunct w:val="0"/>
              <w:autoSpaceDE w:val="0"/>
              <w:autoSpaceDN w:val="0"/>
              <w:adjustRightInd w:val="0"/>
              <w:ind w:right="-335"/>
              <w:textAlignment w:val="baseline"/>
            </w:pPr>
            <w:r>
              <w:t>School/</w:t>
            </w:r>
            <w:r w:rsidRPr="00F14A35">
              <w:t>Unit</w:t>
            </w:r>
            <w:r w:rsidRPr="00F14A35">
              <w:tab/>
            </w:r>
            <w:r w:rsidRPr="00F14A35">
              <w:tab/>
            </w:r>
          </w:p>
        </w:tc>
        <w:tc>
          <w:tcPr>
            <w:tcW w:w="3565" w:type="dxa"/>
            <w:tcBorders>
              <w:top w:val="single" w:sz="4" w:space="0" w:color="auto"/>
              <w:left w:val="single" w:sz="4" w:space="0" w:color="auto"/>
              <w:bottom w:val="single" w:sz="4" w:space="0" w:color="auto"/>
              <w:right w:val="nil"/>
            </w:tcBorders>
          </w:tcPr>
          <w:p w14:paraId="7B3F40E4" w14:textId="77777777" w:rsidR="0023557D" w:rsidRDefault="0023557D" w:rsidP="006E7292">
            <w:pPr>
              <w:overflowPunct w:val="0"/>
              <w:autoSpaceDE w:val="0"/>
              <w:autoSpaceDN w:val="0"/>
              <w:adjustRightInd w:val="0"/>
              <w:ind w:right="-335"/>
              <w:textAlignment w:val="baseline"/>
            </w:pPr>
            <w:r w:rsidRPr="00F14A35">
              <w:t>Contact Tel.</w:t>
            </w:r>
          </w:p>
        </w:tc>
      </w:tr>
      <w:tr w:rsidR="0023557D" w:rsidRPr="00F14A35" w14:paraId="32B36C38" w14:textId="77777777" w:rsidTr="006E7292">
        <w:trPr>
          <w:trHeight w:val="380"/>
        </w:trPr>
        <w:tc>
          <w:tcPr>
            <w:tcW w:w="5778" w:type="dxa"/>
            <w:tcBorders>
              <w:top w:val="single" w:sz="4" w:space="0" w:color="auto"/>
              <w:left w:val="nil"/>
              <w:bottom w:val="single" w:sz="4" w:space="0" w:color="auto"/>
              <w:right w:val="single" w:sz="4" w:space="0" w:color="auto"/>
            </w:tcBorders>
          </w:tcPr>
          <w:p w14:paraId="329002D3" w14:textId="77777777" w:rsidR="0023557D" w:rsidRDefault="0023557D" w:rsidP="006E7292">
            <w:pPr>
              <w:overflowPunct w:val="0"/>
              <w:autoSpaceDE w:val="0"/>
              <w:autoSpaceDN w:val="0"/>
              <w:adjustRightInd w:val="0"/>
              <w:ind w:right="-335"/>
              <w:textAlignment w:val="baseline"/>
            </w:pPr>
          </w:p>
          <w:p w14:paraId="59C92321" w14:textId="77777777" w:rsidR="0023557D" w:rsidRDefault="0023557D" w:rsidP="006E7292">
            <w:pPr>
              <w:overflowPunct w:val="0"/>
              <w:autoSpaceDE w:val="0"/>
              <w:autoSpaceDN w:val="0"/>
              <w:adjustRightInd w:val="0"/>
              <w:ind w:right="-335"/>
              <w:textAlignment w:val="baseline"/>
            </w:pPr>
            <w:r w:rsidRPr="00F14A35">
              <w:t>Signature</w:t>
            </w:r>
            <w:r w:rsidRPr="00F14A35">
              <w:tab/>
            </w:r>
          </w:p>
        </w:tc>
        <w:tc>
          <w:tcPr>
            <w:tcW w:w="3565" w:type="dxa"/>
            <w:tcBorders>
              <w:top w:val="single" w:sz="4" w:space="0" w:color="auto"/>
              <w:left w:val="single" w:sz="4" w:space="0" w:color="auto"/>
              <w:bottom w:val="single" w:sz="4" w:space="0" w:color="auto"/>
              <w:right w:val="nil"/>
            </w:tcBorders>
          </w:tcPr>
          <w:p w14:paraId="145597F6" w14:textId="77777777" w:rsidR="0023557D" w:rsidRDefault="0023557D" w:rsidP="006E7292">
            <w:pPr>
              <w:overflowPunct w:val="0"/>
              <w:autoSpaceDE w:val="0"/>
              <w:autoSpaceDN w:val="0"/>
              <w:adjustRightInd w:val="0"/>
              <w:ind w:right="-335"/>
              <w:textAlignment w:val="baseline"/>
            </w:pPr>
            <w:r w:rsidRPr="00F14A35">
              <w:t>Date</w:t>
            </w:r>
          </w:p>
        </w:tc>
      </w:tr>
      <w:tr w:rsidR="0023557D" w:rsidRPr="00F14A35" w14:paraId="1F7B9A61" w14:textId="77777777" w:rsidTr="006E7292">
        <w:trPr>
          <w:trHeight w:val="380"/>
        </w:trPr>
        <w:tc>
          <w:tcPr>
            <w:tcW w:w="5778" w:type="dxa"/>
            <w:tcBorders>
              <w:top w:val="single" w:sz="4" w:space="0" w:color="auto"/>
              <w:left w:val="nil"/>
              <w:right w:val="single" w:sz="4" w:space="0" w:color="auto"/>
            </w:tcBorders>
          </w:tcPr>
          <w:p w14:paraId="284B6E7F" w14:textId="77777777" w:rsidR="0023557D" w:rsidRDefault="0023557D" w:rsidP="006E7292">
            <w:pPr>
              <w:overflowPunct w:val="0"/>
              <w:autoSpaceDE w:val="0"/>
              <w:autoSpaceDN w:val="0"/>
              <w:adjustRightInd w:val="0"/>
              <w:ind w:right="-334"/>
              <w:textAlignment w:val="baseline"/>
            </w:pPr>
          </w:p>
          <w:p w14:paraId="70DAC2EB" w14:textId="77777777" w:rsidR="0023557D" w:rsidRDefault="0023557D" w:rsidP="006E7292">
            <w:pPr>
              <w:overflowPunct w:val="0"/>
              <w:autoSpaceDE w:val="0"/>
              <w:autoSpaceDN w:val="0"/>
              <w:adjustRightInd w:val="0"/>
              <w:ind w:right="-334"/>
              <w:textAlignment w:val="baseline"/>
            </w:pPr>
            <w:r w:rsidRPr="00F14A35">
              <w:t>Witnessed by</w:t>
            </w:r>
          </w:p>
        </w:tc>
        <w:tc>
          <w:tcPr>
            <w:tcW w:w="3565" w:type="dxa"/>
            <w:tcBorders>
              <w:top w:val="single" w:sz="4" w:space="0" w:color="auto"/>
              <w:left w:val="single" w:sz="4" w:space="0" w:color="auto"/>
              <w:right w:val="nil"/>
            </w:tcBorders>
          </w:tcPr>
          <w:p w14:paraId="1374A7D6" w14:textId="77777777" w:rsidR="0023557D" w:rsidRDefault="0023557D" w:rsidP="006E7292">
            <w:pPr>
              <w:overflowPunct w:val="0"/>
              <w:autoSpaceDE w:val="0"/>
              <w:autoSpaceDN w:val="0"/>
              <w:adjustRightInd w:val="0"/>
              <w:ind w:right="-334"/>
              <w:textAlignment w:val="baseline"/>
            </w:pPr>
          </w:p>
          <w:p w14:paraId="7D5776F5" w14:textId="77777777" w:rsidR="0023557D" w:rsidRDefault="0023557D" w:rsidP="006E7292">
            <w:pPr>
              <w:overflowPunct w:val="0"/>
              <w:autoSpaceDE w:val="0"/>
              <w:autoSpaceDN w:val="0"/>
              <w:adjustRightInd w:val="0"/>
              <w:ind w:right="-334"/>
              <w:textAlignment w:val="baseline"/>
            </w:pPr>
            <w:r w:rsidRPr="00F14A35">
              <w:t>Date</w:t>
            </w:r>
          </w:p>
        </w:tc>
      </w:tr>
    </w:tbl>
    <w:p w14:paraId="63DE3B00" w14:textId="77777777" w:rsidR="0023557D" w:rsidRDefault="0023557D" w:rsidP="0023557D">
      <w:pPr>
        <w:rPr>
          <w:sz w:val="20"/>
          <w:szCs w:val="20"/>
        </w:rPr>
      </w:pPr>
    </w:p>
    <w:sectPr w:rsidR="0023557D" w:rsidSect="0022128C">
      <w:footerReference w:type="default" r:id="rId11"/>
      <w:pgSz w:w="11900" w:h="16840"/>
      <w:pgMar w:top="1134" w:right="1134" w:bottom="1134" w:left="1134"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07515" w14:textId="77777777" w:rsidR="006E7292" w:rsidRDefault="006E7292" w:rsidP="006B00D8">
      <w:r>
        <w:separator/>
      </w:r>
    </w:p>
  </w:endnote>
  <w:endnote w:type="continuationSeparator" w:id="0">
    <w:p w14:paraId="5C1F42CE" w14:textId="77777777" w:rsidR="006E7292" w:rsidRDefault="006E7292" w:rsidP="006B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3CA00" w14:textId="77777777" w:rsidR="006E7292" w:rsidRPr="0010372E" w:rsidRDefault="006E7292" w:rsidP="009048AA">
    <w:pPr>
      <w:pStyle w:val="Footer"/>
      <w:pBdr>
        <w:top w:val="single" w:sz="4" w:space="1" w:color="auto"/>
      </w:pBdr>
      <w:tabs>
        <w:tab w:val="clear" w:pos="4320"/>
        <w:tab w:val="clear" w:pos="8640"/>
        <w:tab w:val="right" w:pos="9639"/>
      </w:tabs>
      <w:ind w:right="-7"/>
      <w:rPr>
        <w:sz w:val="16"/>
        <w:szCs w:val="16"/>
      </w:rPr>
    </w:pPr>
    <w:r>
      <w:rPr>
        <w:sz w:val="16"/>
        <w:szCs w:val="16"/>
      </w:rPr>
      <w:t>Staff Assistance, Support and Representation Policy</w:t>
    </w:r>
    <w:r>
      <w:rPr>
        <w:sz w:val="16"/>
        <w:szCs w:val="16"/>
      </w:rPr>
      <w:tab/>
    </w:r>
    <w:r w:rsidRPr="0010372E">
      <w:rPr>
        <w:sz w:val="16"/>
        <w:szCs w:val="16"/>
      </w:rPr>
      <w:t xml:space="preserve">Page </w:t>
    </w:r>
    <w:r w:rsidRPr="0010372E">
      <w:rPr>
        <w:sz w:val="16"/>
        <w:szCs w:val="16"/>
      </w:rPr>
      <w:fldChar w:fldCharType="begin"/>
    </w:r>
    <w:r w:rsidRPr="0010372E">
      <w:rPr>
        <w:sz w:val="16"/>
        <w:szCs w:val="16"/>
      </w:rPr>
      <w:instrText xml:space="preserve"> PAGE   \* MERGEFORMAT </w:instrText>
    </w:r>
    <w:r w:rsidRPr="0010372E">
      <w:rPr>
        <w:sz w:val="16"/>
        <w:szCs w:val="16"/>
      </w:rPr>
      <w:fldChar w:fldCharType="separate"/>
    </w:r>
    <w:r w:rsidR="00FC63FC">
      <w:rPr>
        <w:noProof/>
        <w:sz w:val="16"/>
        <w:szCs w:val="16"/>
      </w:rPr>
      <w:t>2</w:t>
    </w:r>
    <w:r w:rsidRPr="0010372E">
      <w:rPr>
        <w:sz w:val="16"/>
        <w:szCs w:val="16"/>
      </w:rPr>
      <w:fldChar w:fldCharType="end"/>
    </w:r>
    <w:r w:rsidRPr="0010372E">
      <w:rPr>
        <w:sz w:val="16"/>
        <w:szCs w:val="16"/>
      </w:rPr>
      <w:t xml:space="preserve"> of </w:t>
    </w:r>
    <w:r w:rsidR="004E3E4A">
      <w:fldChar w:fldCharType="begin"/>
    </w:r>
    <w:r w:rsidR="004E3E4A">
      <w:instrText xml:space="preserve"> NUMPAGES   \* MERGEFORMAT </w:instrText>
    </w:r>
    <w:r w:rsidR="004E3E4A">
      <w:fldChar w:fldCharType="separate"/>
    </w:r>
    <w:r w:rsidR="00FC63FC" w:rsidRPr="00FC63FC">
      <w:rPr>
        <w:noProof/>
        <w:sz w:val="16"/>
        <w:szCs w:val="16"/>
      </w:rPr>
      <w:t>2</w:t>
    </w:r>
    <w:r w:rsidR="004E3E4A">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A5EF1" w14:textId="77777777" w:rsidR="006E7292" w:rsidRDefault="006E7292" w:rsidP="006B00D8">
      <w:r>
        <w:separator/>
      </w:r>
    </w:p>
  </w:footnote>
  <w:footnote w:type="continuationSeparator" w:id="0">
    <w:p w14:paraId="0FBB7E6E" w14:textId="77777777" w:rsidR="006E7292" w:rsidRDefault="006E7292" w:rsidP="006B0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557"/>
    <w:multiLevelType w:val="multilevel"/>
    <w:tmpl w:val="35927E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8D7BC0"/>
    <w:multiLevelType w:val="hybridMultilevel"/>
    <w:tmpl w:val="99F85BDC"/>
    <w:lvl w:ilvl="0" w:tplc="C048FBF6">
      <w:numFmt w:val="bullet"/>
      <w:lvlText w:val="•"/>
      <w:lvlJc w:val="left"/>
      <w:pPr>
        <w:ind w:left="1500" w:hanging="114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7833D6"/>
    <w:multiLevelType w:val="multilevel"/>
    <w:tmpl w:val="C436FA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1A347A"/>
    <w:multiLevelType w:val="hybridMultilevel"/>
    <w:tmpl w:val="F796B78E"/>
    <w:lvl w:ilvl="0" w:tplc="C048FBF6">
      <w:numFmt w:val="bullet"/>
      <w:lvlText w:val="•"/>
      <w:lvlJc w:val="left"/>
      <w:pPr>
        <w:ind w:left="2220" w:hanging="114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E751A49"/>
    <w:multiLevelType w:val="hybridMultilevel"/>
    <w:tmpl w:val="3C726A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071385E"/>
    <w:multiLevelType w:val="hybridMultilevel"/>
    <w:tmpl w:val="3F2E12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A77729"/>
    <w:multiLevelType w:val="hybridMultilevel"/>
    <w:tmpl w:val="553E8A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6895BE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5914F7"/>
    <w:multiLevelType w:val="hybridMultilevel"/>
    <w:tmpl w:val="087489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A8E1DDE"/>
    <w:multiLevelType w:val="hybridMultilevel"/>
    <w:tmpl w:val="1C6CC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9B1058"/>
    <w:multiLevelType w:val="hybridMultilevel"/>
    <w:tmpl w:val="776E24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5D77AC4"/>
    <w:multiLevelType w:val="hybridMultilevel"/>
    <w:tmpl w:val="84343806"/>
    <w:lvl w:ilvl="0" w:tplc="0C09000F">
      <w:start w:val="3"/>
      <w:numFmt w:val="decimal"/>
      <w:lvlText w:val="%1."/>
      <w:lvlJc w:val="left"/>
      <w:pPr>
        <w:ind w:left="720" w:hanging="360"/>
      </w:pPr>
      <w:rPr>
        <w:rFonts w:hint="default"/>
      </w:rPr>
    </w:lvl>
    <w:lvl w:ilvl="1" w:tplc="0C090019">
      <w:start w:val="1"/>
      <w:numFmt w:val="lowerLetter"/>
      <w:lvlText w:val="%2."/>
      <w:lvlJc w:val="left"/>
      <w:pPr>
        <w:ind w:left="1440" w:hanging="360"/>
      </w:pPr>
    </w:lvl>
    <w:lvl w:ilvl="2" w:tplc="A79A4EB0">
      <w:numFmt w:val="bullet"/>
      <w:lvlText w:val="•"/>
      <w:lvlJc w:val="left"/>
      <w:pPr>
        <w:ind w:left="2700" w:hanging="720"/>
      </w:pPr>
      <w:rPr>
        <w:rFonts w:ascii="Arial" w:eastAsiaTheme="minorHAnsi" w:hAnsi="Aria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C7B4D34"/>
    <w:multiLevelType w:val="hybridMultilevel"/>
    <w:tmpl w:val="3ED879B6"/>
    <w:lvl w:ilvl="0" w:tplc="0C09000F">
      <w:start w:val="1"/>
      <w:numFmt w:val="decimal"/>
      <w:lvlText w:val="%1."/>
      <w:lvlJc w:val="left"/>
      <w:pPr>
        <w:ind w:left="720" w:hanging="360"/>
      </w:pPr>
    </w:lvl>
    <w:lvl w:ilvl="1" w:tplc="030E93E4">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9042EB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195D6A"/>
    <w:multiLevelType w:val="multilevel"/>
    <w:tmpl w:val="08667A1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463037"/>
    <w:multiLevelType w:val="multilevel"/>
    <w:tmpl w:val="561A7844"/>
    <w:lvl w:ilvl="0">
      <w:start w:val="1"/>
      <w:numFmt w:val="decimal"/>
      <w:lvlText w:val="%1."/>
      <w:lvlJc w:val="left"/>
      <w:pPr>
        <w:ind w:left="360" w:hanging="360"/>
      </w:pPr>
      <w:rPr>
        <w:b/>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704166"/>
    <w:multiLevelType w:val="hybridMultilevel"/>
    <w:tmpl w:val="2D3CE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937BCD"/>
    <w:multiLevelType w:val="hybridMultilevel"/>
    <w:tmpl w:val="53380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D707FEC"/>
    <w:multiLevelType w:val="multilevel"/>
    <w:tmpl w:val="A5289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5A7835"/>
    <w:multiLevelType w:val="hybridMultilevel"/>
    <w:tmpl w:val="E4A2AE1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30283591">
    <w:abstractNumId w:val="12"/>
  </w:num>
  <w:num w:numId="2" w16cid:durableId="804784881">
    <w:abstractNumId w:val="13"/>
  </w:num>
  <w:num w:numId="3" w16cid:durableId="472866359">
    <w:abstractNumId w:val="15"/>
  </w:num>
  <w:num w:numId="4" w16cid:durableId="1120882807">
    <w:abstractNumId w:val="19"/>
  </w:num>
  <w:num w:numId="5" w16cid:durableId="103043492">
    <w:abstractNumId w:val="18"/>
  </w:num>
  <w:num w:numId="6" w16cid:durableId="2144616014">
    <w:abstractNumId w:val="2"/>
  </w:num>
  <w:num w:numId="7" w16cid:durableId="1956716302">
    <w:abstractNumId w:val="14"/>
  </w:num>
  <w:num w:numId="8" w16cid:durableId="1775131383">
    <w:abstractNumId w:val="11"/>
  </w:num>
  <w:num w:numId="9" w16cid:durableId="792097638">
    <w:abstractNumId w:val="0"/>
  </w:num>
  <w:num w:numId="10" w16cid:durableId="1496534754">
    <w:abstractNumId w:val="5"/>
  </w:num>
  <w:num w:numId="11" w16cid:durableId="1074930792">
    <w:abstractNumId w:val="17"/>
  </w:num>
  <w:num w:numId="12" w16cid:durableId="1247304830">
    <w:abstractNumId w:val="1"/>
  </w:num>
  <w:num w:numId="13" w16cid:durableId="1022703246">
    <w:abstractNumId w:val="7"/>
  </w:num>
  <w:num w:numId="14" w16cid:durableId="152068904">
    <w:abstractNumId w:val="3"/>
  </w:num>
  <w:num w:numId="15" w16cid:durableId="879173274">
    <w:abstractNumId w:val="9"/>
  </w:num>
  <w:num w:numId="16" w16cid:durableId="2069448738">
    <w:abstractNumId w:val="6"/>
  </w:num>
  <w:num w:numId="17" w16cid:durableId="1190951855">
    <w:abstractNumId w:val="10"/>
  </w:num>
  <w:num w:numId="18" w16cid:durableId="1773237377">
    <w:abstractNumId w:val="8"/>
  </w:num>
  <w:num w:numId="19" w16cid:durableId="426510904">
    <w:abstractNumId w:val="16"/>
  </w:num>
  <w:num w:numId="20" w16cid:durableId="1573589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F1"/>
    <w:rsid w:val="000044C1"/>
    <w:rsid w:val="0002200E"/>
    <w:rsid w:val="000302C0"/>
    <w:rsid w:val="00034474"/>
    <w:rsid w:val="0003496D"/>
    <w:rsid w:val="00047A5C"/>
    <w:rsid w:val="00053B9E"/>
    <w:rsid w:val="00073AAD"/>
    <w:rsid w:val="00092024"/>
    <w:rsid w:val="00094494"/>
    <w:rsid w:val="000A43DE"/>
    <w:rsid w:val="000B6020"/>
    <w:rsid w:val="000D03CC"/>
    <w:rsid w:val="000F1B37"/>
    <w:rsid w:val="001003DD"/>
    <w:rsid w:val="001011A2"/>
    <w:rsid w:val="00101E59"/>
    <w:rsid w:val="0010372E"/>
    <w:rsid w:val="00116AC3"/>
    <w:rsid w:val="001275B1"/>
    <w:rsid w:val="00131F5B"/>
    <w:rsid w:val="00137606"/>
    <w:rsid w:val="00195146"/>
    <w:rsid w:val="001B719A"/>
    <w:rsid w:val="001E310E"/>
    <w:rsid w:val="001E407E"/>
    <w:rsid w:val="001F6D89"/>
    <w:rsid w:val="0020063B"/>
    <w:rsid w:val="002008C4"/>
    <w:rsid w:val="00202DF5"/>
    <w:rsid w:val="002054B7"/>
    <w:rsid w:val="0022128C"/>
    <w:rsid w:val="002326AA"/>
    <w:rsid w:val="0023557D"/>
    <w:rsid w:val="00237540"/>
    <w:rsid w:val="00240A3E"/>
    <w:rsid w:val="00263F1B"/>
    <w:rsid w:val="00280DF6"/>
    <w:rsid w:val="00281F30"/>
    <w:rsid w:val="0029592F"/>
    <w:rsid w:val="002A314B"/>
    <w:rsid w:val="002A390C"/>
    <w:rsid w:val="002B2079"/>
    <w:rsid w:val="002B7369"/>
    <w:rsid w:val="002C7A42"/>
    <w:rsid w:val="002E1BD1"/>
    <w:rsid w:val="002F0EF7"/>
    <w:rsid w:val="002F456B"/>
    <w:rsid w:val="002F480E"/>
    <w:rsid w:val="002F4858"/>
    <w:rsid w:val="00315265"/>
    <w:rsid w:val="003227FB"/>
    <w:rsid w:val="003343A5"/>
    <w:rsid w:val="00353F0C"/>
    <w:rsid w:val="00355032"/>
    <w:rsid w:val="003664FB"/>
    <w:rsid w:val="00372B78"/>
    <w:rsid w:val="00375EDA"/>
    <w:rsid w:val="003805CA"/>
    <w:rsid w:val="00390132"/>
    <w:rsid w:val="003A064F"/>
    <w:rsid w:val="003C1648"/>
    <w:rsid w:val="003D1A5D"/>
    <w:rsid w:val="003E101F"/>
    <w:rsid w:val="003E425D"/>
    <w:rsid w:val="003F1A1D"/>
    <w:rsid w:val="004015E1"/>
    <w:rsid w:val="0040587A"/>
    <w:rsid w:val="00452982"/>
    <w:rsid w:val="00475A13"/>
    <w:rsid w:val="00482203"/>
    <w:rsid w:val="004B39B0"/>
    <w:rsid w:val="004C0A89"/>
    <w:rsid w:val="004E3450"/>
    <w:rsid w:val="004E7C88"/>
    <w:rsid w:val="00502DB8"/>
    <w:rsid w:val="00523BC8"/>
    <w:rsid w:val="005306EF"/>
    <w:rsid w:val="00540984"/>
    <w:rsid w:val="00571948"/>
    <w:rsid w:val="0057216A"/>
    <w:rsid w:val="00593397"/>
    <w:rsid w:val="00593890"/>
    <w:rsid w:val="00594076"/>
    <w:rsid w:val="005A034F"/>
    <w:rsid w:val="005A2AA2"/>
    <w:rsid w:val="005C19D4"/>
    <w:rsid w:val="005D204B"/>
    <w:rsid w:val="005D63F2"/>
    <w:rsid w:val="005F4CF6"/>
    <w:rsid w:val="00602DF7"/>
    <w:rsid w:val="006066B3"/>
    <w:rsid w:val="006066E6"/>
    <w:rsid w:val="00606BD9"/>
    <w:rsid w:val="00611167"/>
    <w:rsid w:val="0062673F"/>
    <w:rsid w:val="00661C1D"/>
    <w:rsid w:val="00666BE9"/>
    <w:rsid w:val="00670D6B"/>
    <w:rsid w:val="00675300"/>
    <w:rsid w:val="00687F60"/>
    <w:rsid w:val="00690041"/>
    <w:rsid w:val="006A1F8B"/>
    <w:rsid w:val="006B00D8"/>
    <w:rsid w:val="006B5BDE"/>
    <w:rsid w:val="006C0D56"/>
    <w:rsid w:val="006C6B40"/>
    <w:rsid w:val="006D04B1"/>
    <w:rsid w:val="006E7292"/>
    <w:rsid w:val="00707A1A"/>
    <w:rsid w:val="00714C18"/>
    <w:rsid w:val="00721104"/>
    <w:rsid w:val="00722E34"/>
    <w:rsid w:val="007234A7"/>
    <w:rsid w:val="00725BCF"/>
    <w:rsid w:val="00744C34"/>
    <w:rsid w:val="00750E84"/>
    <w:rsid w:val="00756259"/>
    <w:rsid w:val="00777F72"/>
    <w:rsid w:val="007926AE"/>
    <w:rsid w:val="007B54B6"/>
    <w:rsid w:val="007D06AA"/>
    <w:rsid w:val="007D4E8D"/>
    <w:rsid w:val="007E449E"/>
    <w:rsid w:val="007E4CED"/>
    <w:rsid w:val="007F5F4E"/>
    <w:rsid w:val="00803C3A"/>
    <w:rsid w:val="00805E5B"/>
    <w:rsid w:val="00806193"/>
    <w:rsid w:val="00807627"/>
    <w:rsid w:val="008076EA"/>
    <w:rsid w:val="00812232"/>
    <w:rsid w:val="00837DED"/>
    <w:rsid w:val="00840B16"/>
    <w:rsid w:val="00872801"/>
    <w:rsid w:val="0088631E"/>
    <w:rsid w:val="008A09DF"/>
    <w:rsid w:val="008D58DE"/>
    <w:rsid w:val="008E5D74"/>
    <w:rsid w:val="008F6CD6"/>
    <w:rsid w:val="009048AA"/>
    <w:rsid w:val="00905B76"/>
    <w:rsid w:val="00927848"/>
    <w:rsid w:val="0096086A"/>
    <w:rsid w:val="0096187F"/>
    <w:rsid w:val="00965CC9"/>
    <w:rsid w:val="00982C8F"/>
    <w:rsid w:val="00997D96"/>
    <w:rsid w:val="009D6639"/>
    <w:rsid w:val="009E4DB8"/>
    <w:rsid w:val="009F57F1"/>
    <w:rsid w:val="00A002EC"/>
    <w:rsid w:val="00A1197C"/>
    <w:rsid w:val="00A13D92"/>
    <w:rsid w:val="00A40D93"/>
    <w:rsid w:val="00A40F06"/>
    <w:rsid w:val="00A4726F"/>
    <w:rsid w:val="00A53A7A"/>
    <w:rsid w:val="00A62F55"/>
    <w:rsid w:val="00A66B00"/>
    <w:rsid w:val="00A7553C"/>
    <w:rsid w:val="00A83A4D"/>
    <w:rsid w:val="00A84F67"/>
    <w:rsid w:val="00A863E2"/>
    <w:rsid w:val="00AA63D1"/>
    <w:rsid w:val="00AB119B"/>
    <w:rsid w:val="00AC4070"/>
    <w:rsid w:val="00AC6A6A"/>
    <w:rsid w:val="00AF1F53"/>
    <w:rsid w:val="00AF2FD6"/>
    <w:rsid w:val="00AF737A"/>
    <w:rsid w:val="00B0289C"/>
    <w:rsid w:val="00B07319"/>
    <w:rsid w:val="00B11E6C"/>
    <w:rsid w:val="00B30BE6"/>
    <w:rsid w:val="00B32E28"/>
    <w:rsid w:val="00B43353"/>
    <w:rsid w:val="00B43B32"/>
    <w:rsid w:val="00B53419"/>
    <w:rsid w:val="00B67C3D"/>
    <w:rsid w:val="00B700EA"/>
    <w:rsid w:val="00B71C65"/>
    <w:rsid w:val="00B73542"/>
    <w:rsid w:val="00B7426E"/>
    <w:rsid w:val="00B90C58"/>
    <w:rsid w:val="00B94038"/>
    <w:rsid w:val="00BA6776"/>
    <w:rsid w:val="00BB1417"/>
    <w:rsid w:val="00BB56C1"/>
    <w:rsid w:val="00BB7828"/>
    <w:rsid w:val="00BD7884"/>
    <w:rsid w:val="00C00BFF"/>
    <w:rsid w:val="00C054D8"/>
    <w:rsid w:val="00C6669A"/>
    <w:rsid w:val="00CA40DA"/>
    <w:rsid w:val="00CE0F00"/>
    <w:rsid w:val="00CE3AC8"/>
    <w:rsid w:val="00CE480D"/>
    <w:rsid w:val="00CE7490"/>
    <w:rsid w:val="00CF000C"/>
    <w:rsid w:val="00CF14F3"/>
    <w:rsid w:val="00D00886"/>
    <w:rsid w:val="00D01C59"/>
    <w:rsid w:val="00D13715"/>
    <w:rsid w:val="00D15B24"/>
    <w:rsid w:val="00D178F0"/>
    <w:rsid w:val="00D2411D"/>
    <w:rsid w:val="00D34A8B"/>
    <w:rsid w:val="00D66BEB"/>
    <w:rsid w:val="00D70753"/>
    <w:rsid w:val="00D7349B"/>
    <w:rsid w:val="00D779F7"/>
    <w:rsid w:val="00D80CF7"/>
    <w:rsid w:val="00D84912"/>
    <w:rsid w:val="00D87FE4"/>
    <w:rsid w:val="00DA1C80"/>
    <w:rsid w:val="00DA3CF8"/>
    <w:rsid w:val="00DB60AB"/>
    <w:rsid w:val="00DB6A86"/>
    <w:rsid w:val="00DC5FA4"/>
    <w:rsid w:val="00DE3350"/>
    <w:rsid w:val="00DE390A"/>
    <w:rsid w:val="00DE7D0D"/>
    <w:rsid w:val="00E10FC5"/>
    <w:rsid w:val="00E2469B"/>
    <w:rsid w:val="00E452CE"/>
    <w:rsid w:val="00E53DAC"/>
    <w:rsid w:val="00E5610B"/>
    <w:rsid w:val="00E613FB"/>
    <w:rsid w:val="00E61E55"/>
    <w:rsid w:val="00E63FCF"/>
    <w:rsid w:val="00E649C7"/>
    <w:rsid w:val="00E66814"/>
    <w:rsid w:val="00E74F89"/>
    <w:rsid w:val="00EB7BCC"/>
    <w:rsid w:val="00ED1FA3"/>
    <w:rsid w:val="00ED6FCC"/>
    <w:rsid w:val="00EE28C3"/>
    <w:rsid w:val="00EE6C87"/>
    <w:rsid w:val="00EF71E4"/>
    <w:rsid w:val="00F67480"/>
    <w:rsid w:val="00F72978"/>
    <w:rsid w:val="00F80E43"/>
    <w:rsid w:val="00F80E85"/>
    <w:rsid w:val="00F91E31"/>
    <w:rsid w:val="00F96803"/>
    <w:rsid w:val="00F97568"/>
    <w:rsid w:val="00FA7248"/>
    <w:rsid w:val="00FA732E"/>
    <w:rsid w:val="00FB15B4"/>
    <w:rsid w:val="00FB5CF4"/>
    <w:rsid w:val="00FC63FC"/>
    <w:rsid w:val="00FC7166"/>
    <w:rsid w:val="00FD4F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7FFE1928"/>
  <w15:docId w15:val="{06248487-0492-4597-A5DB-97B7EEF9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BCC"/>
  </w:style>
  <w:style w:type="paragraph" w:styleId="Heading1">
    <w:name w:val="heading 1"/>
    <w:basedOn w:val="Normal"/>
    <w:next w:val="Normal"/>
    <w:link w:val="Heading1Char"/>
    <w:uiPriority w:val="9"/>
    <w:qFormat/>
    <w:rsid w:val="00A4726F"/>
    <w:pPr>
      <w:keepNext/>
      <w:keepLines/>
      <w:spacing w:before="480"/>
      <w:outlineLvl w:val="0"/>
    </w:pPr>
    <w:rPr>
      <w:rFonts w:eastAsiaTheme="majorEastAsia" w:cstheme="majorBidi"/>
      <w:b/>
      <w:bCs/>
      <w:color w:val="345A8A" w:themeColor="accent1" w:themeShade="B5"/>
      <w:szCs w:val="32"/>
    </w:rPr>
  </w:style>
  <w:style w:type="paragraph" w:styleId="Heading2">
    <w:name w:val="heading 2"/>
    <w:basedOn w:val="Normal"/>
    <w:next w:val="Normal"/>
    <w:link w:val="Heading2Char"/>
    <w:uiPriority w:val="9"/>
    <w:unhideWhenUsed/>
    <w:qFormat/>
    <w:rsid w:val="00A4726F"/>
    <w:pPr>
      <w:keepNext/>
      <w:keepLines/>
      <w:spacing w:before="200"/>
      <w:outlineLvl w:val="1"/>
    </w:pPr>
    <w:rPr>
      <w:rFonts w:eastAsiaTheme="majorEastAsia" w:cstheme="majorBidi"/>
      <w:b/>
      <w:bCs/>
      <w:color w:val="4F81BD" w:themeColor="accent1"/>
      <w:sz w:val="22"/>
      <w:szCs w:val="26"/>
    </w:rPr>
  </w:style>
  <w:style w:type="paragraph" w:styleId="Heading3">
    <w:name w:val="heading 3"/>
    <w:basedOn w:val="Normal"/>
    <w:next w:val="Normal"/>
    <w:link w:val="Heading3Char"/>
    <w:uiPriority w:val="9"/>
    <w:unhideWhenUsed/>
    <w:qFormat/>
    <w:rsid w:val="00A4726F"/>
    <w:pPr>
      <w:keepNext/>
      <w:keepLines/>
      <w:spacing w:before="200"/>
      <w:outlineLvl w:val="2"/>
    </w:pPr>
    <w:rPr>
      <w:rFonts w:eastAsiaTheme="majorEastAsia" w:cstheme="majorBidi"/>
      <w:b/>
      <w:bCs/>
      <w:color w:val="4F81BD" w:themeColor="accent1"/>
      <w:sz w:val="20"/>
    </w:rPr>
  </w:style>
  <w:style w:type="paragraph" w:styleId="Heading4">
    <w:name w:val="heading 4"/>
    <w:basedOn w:val="Normal"/>
    <w:next w:val="Normal"/>
    <w:link w:val="Heading4Char"/>
    <w:uiPriority w:val="9"/>
    <w:semiHidden/>
    <w:unhideWhenUsed/>
    <w:qFormat/>
    <w:rsid w:val="00A472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72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72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472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72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72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87F"/>
    <w:rPr>
      <w:rFonts w:ascii="Lucida Grande" w:hAnsi="Lucida Grande"/>
      <w:sz w:val="18"/>
      <w:szCs w:val="18"/>
    </w:rPr>
  </w:style>
  <w:style w:type="character" w:customStyle="1" w:styleId="BalloonTextChar">
    <w:name w:val="Balloon Text Char"/>
    <w:basedOn w:val="DefaultParagraphFont"/>
    <w:link w:val="BalloonText"/>
    <w:uiPriority w:val="99"/>
    <w:semiHidden/>
    <w:rsid w:val="0096187F"/>
    <w:rPr>
      <w:rFonts w:ascii="Lucida Grande" w:hAnsi="Lucida Grande"/>
      <w:sz w:val="18"/>
      <w:szCs w:val="18"/>
    </w:rPr>
  </w:style>
  <w:style w:type="table" w:styleId="TableGrid">
    <w:name w:val="Table Grid"/>
    <w:basedOn w:val="TableNormal"/>
    <w:uiPriority w:val="59"/>
    <w:rsid w:val="00961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00D8"/>
    <w:pPr>
      <w:tabs>
        <w:tab w:val="center" w:pos="4320"/>
        <w:tab w:val="right" w:pos="8640"/>
      </w:tabs>
    </w:pPr>
  </w:style>
  <w:style w:type="character" w:customStyle="1" w:styleId="HeaderChar">
    <w:name w:val="Header Char"/>
    <w:basedOn w:val="DefaultParagraphFont"/>
    <w:link w:val="Header"/>
    <w:uiPriority w:val="99"/>
    <w:rsid w:val="006B00D8"/>
  </w:style>
  <w:style w:type="paragraph" w:styleId="Footer">
    <w:name w:val="footer"/>
    <w:basedOn w:val="Normal"/>
    <w:link w:val="FooterChar"/>
    <w:uiPriority w:val="99"/>
    <w:unhideWhenUsed/>
    <w:rsid w:val="006B00D8"/>
    <w:pPr>
      <w:tabs>
        <w:tab w:val="center" w:pos="4320"/>
        <w:tab w:val="right" w:pos="8640"/>
      </w:tabs>
    </w:pPr>
  </w:style>
  <w:style w:type="character" w:customStyle="1" w:styleId="FooterChar">
    <w:name w:val="Footer Char"/>
    <w:basedOn w:val="DefaultParagraphFont"/>
    <w:link w:val="Footer"/>
    <w:uiPriority w:val="99"/>
    <w:rsid w:val="006B00D8"/>
  </w:style>
  <w:style w:type="character" w:customStyle="1" w:styleId="Heading1Char">
    <w:name w:val="Heading 1 Char"/>
    <w:basedOn w:val="DefaultParagraphFont"/>
    <w:link w:val="Heading1"/>
    <w:uiPriority w:val="9"/>
    <w:rsid w:val="00A4726F"/>
    <w:rPr>
      <w:rFonts w:eastAsiaTheme="majorEastAsia" w:cstheme="majorBidi"/>
      <w:b/>
      <w:bCs/>
      <w:color w:val="345A8A" w:themeColor="accent1" w:themeShade="B5"/>
      <w:szCs w:val="32"/>
    </w:rPr>
  </w:style>
  <w:style w:type="paragraph" w:styleId="TOCHeading">
    <w:name w:val="TOC Heading"/>
    <w:basedOn w:val="Heading1"/>
    <w:next w:val="Normal"/>
    <w:uiPriority w:val="39"/>
    <w:unhideWhenUsed/>
    <w:qFormat/>
    <w:rsid w:val="003F1A1D"/>
    <w:pPr>
      <w:spacing w:line="276" w:lineRule="auto"/>
      <w:outlineLvl w:val="9"/>
    </w:pPr>
    <w:rPr>
      <w:color w:val="365F91" w:themeColor="accent1" w:themeShade="BF"/>
      <w:sz w:val="28"/>
      <w:szCs w:val="28"/>
      <w:lang w:val="en-US"/>
    </w:rPr>
  </w:style>
  <w:style w:type="paragraph" w:styleId="TOC2">
    <w:name w:val="toc 2"/>
    <w:basedOn w:val="Normal"/>
    <w:next w:val="Normal"/>
    <w:autoRedefine/>
    <w:uiPriority w:val="39"/>
    <w:unhideWhenUsed/>
    <w:rsid w:val="003F1A1D"/>
    <w:pPr>
      <w:ind w:left="240"/>
    </w:pPr>
    <w:rPr>
      <w:b/>
      <w:sz w:val="22"/>
      <w:szCs w:val="22"/>
    </w:rPr>
  </w:style>
  <w:style w:type="paragraph" w:styleId="TOC1">
    <w:name w:val="toc 1"/>
    <w:basedOn w:val="Normal"/>
    <w:next w:val="Normal"/>
    <w:autoRedefine/>
    <w:uiPriority w:val="39"/>
    <w:unhideWhenUsed/>
    <w:rsid w:val="00452982"/>
    <w:pPr>
      <w:tabs>
        <w:tab w:val="left" w:pos="480"/>
        <w:tab w:val="right" w:leader="dot" w:pos="9622"/>
      </w:tabs>
      <w:spacing w:before="120"/>
    </w:pPr>
    <w:rPr>
      <w:b/>
      <w:noProof/>
    </w:rPr>
  </w:style>
  <w:style w:type="paragraph" w:styleId="TOC3">
    <w:name w:val="toc 3"/>
    <w:basedOn w:val="Normal"/>
    <w:next w:val="Normal"/>
    <w:autoRedefine/>
    <w:uiPriority w:val="39"/>
    <w:unhideWhenUsed/>
    <w:rsid w:val="003F1A1D"/>
    <w:pPr>
      <w:ind w:left="480"/>
    </w:pPr>
    <w:rPr>
      <w:sz w:val="22"/>
      <w:szCs w:val="22"/>
    </w:rPr>
  </w:style>
  <w:style w:type="paragraph" w:styleId="TOC4">
    <w:name w:val="toc 4"/>
    <w:basedOn w:val="Normal"/>
    <w:next w:val="Normal"/>
    <w:autoRedefine/>
    <w:uiPriority w:val="39"/>
    <w:semiHidden/>
    <w:unhideWhenUsed/>
    <w:rsid w:val="003F1A1D"/>
    <w:pPr>
      <w:ind w:left="720"/>
    </w:pPr>
    <w:rPr>
      <w:sz w:val="20"/>
      <w:szCs w:val="20"/>
    </w:rPr>
  </w:style>
  <w:style w:type="paragraph" w:styleId="TOC5">
    <w:name w:val="toc 5"/>
    <w:basedOn w:val="Normal"/>
    <w:next w:val="Normal"/>
    <w:autoRedefine/>
    <w:uiPriority w:val="39"/>
    <w:semiHidden/>
    <w:unhideWhenUsed/>
    <w:rsid w:val="003F1A1D"/>
    <w:pPr>
      <w:ind w:left="960"/>
    </w:pPr>
    <w:rPr>
      <w:sz w:val="20"/>
      <w:szCs w:val="20"/>
    </w:rPr>
  </w:style>
  <w:style w:type="paragraph" w:styleId="TOC6">
    <w:name w:val="toc 6"/>
    <w:basedOn w:val="Normal"/>
    <w:next w:val="Normal"/>
    <w:autoRedefine/>
    <w:uiPriority w:val="39"/>
    <w:semiHidden/>
    <w:unhideWhenUsed/>
    <w:rsid w:val="003F1A1D"/>
    <w:pPr>
      <w:ind w:left="1200"/>
    </w:pPr>
    <w:rPr>
      <w:sz w:val="20"/>
      <w:szCs w:val="20"/>
    </w:rPr>
  </w:style>
  <w:style w:type="paragraph" w:styleId="TOC7">
    <w:name w:val="toc 7"/>
    <w:basedOn w:val="Normal"/>
    <w:next w:val="Normal"/>
    <w:autoRedefine/>
    <w:uiPriority w:val="39"/>
    <w:semiHidden/>
    <w:unhideWhenUsed/>
    <w:rsid w:val="003F1A1D"/>
    <w:pPr>
      <w:ind w:left="1440"/>
    </w:pPr>
    <w:rPr>
      <w:sz w:val="20"/>
      <w:szCs w:val="20"/>
    </w:rPr>
  </w:style>
  <w:style w:type="paragraph" w:styleId="TOC8">
    <w:name w:val="toc 8"/>
    <w:basedOn w:val="Normal"/>
    <w:next w:val="Normal"/>
    <w:autoRedefine/>
    <w:uiPriority w:val="39"/>
    <w:semiHidden/>
    <w:unhideWhenUsed/>
    <w:rsid w:val="003F1A1D"/>
    <w:pPr>
      <w:ind w:left="1680"/>
    </w:pPr>
    <w:rPr>
      <w:sz w:val="20"/>
      <w:szCs w:val="20"/>
    </w:rPr>
  </w:style>
  <w:style w:type="paragraph" w:styleId="TOC9">
    <w:name w:val="toc 9"/>
    <w:basedOn w:val="Normal"/>
    <w:next w:val="Normal"/>
    <w:autoRedefine/>
    <w:uiPriority w:val="39"/>
    <w:semiHidden/>
    <w:unhideWhenUsed/>
    <w:rsid w:val="003F1A1D"/>
    <w:pPr>
      <w:ind w:left="1920"/>
    </w:pPr>
    <w:rPr>
      <w:sz w:val="20"/>
      <w:szCs w:val="20"/>
    </w:rPr>
  </w:style>
  <w:style w:type="paragraph" w:styleId="ListParagraph">
    <w:name w:val="List Paragraph"/>
    <w:basedOn w:val="Normal"/>
    <w:uiPriority w:val="34"/>
    <w:qFormat/>
    <w:rsid w:val="00A4726F"/>
    <w:pPr>
      <w:ind w:left="720"/>
      <w:contextualSpacing/>
    </w:pPr>
  </w:style>
  <w:style w:type="character" w:customStyle="1" w:styleId="Heading2Char">
    <w:name w:val="Heading 2 Char"/>
    <w:basedOn w:val="DefaultParagraphFont"/>
    <w:link w:val="Heading2"/>
    <w:uiPriority w:val="9"/>
    <w:rsid w:val="00A4726F"/>
    <w:rPr>
      <w:rFonts w:eastAsiaTheme="majorEastAsia" w:cstheme="majorBidi"/>
      <w:b/>
      <w:bCs/>
      <w:color w:val="4F81BD" w:themeColor="accent1"/>
      <w:sz w:val="22"/>
      <w:szCs w:val="26"/>
    </w:rPr>
  </w:style>
  <w:style w:type="character" w:customStyle="1" w:styleId="Heading3Char">
    <w:name w:val="Heading 3 Char"/>
    <w:basedOn w:val="DefaultParagraphFont"/>
    <w:link w:val="Heading3"/>
    <w:uiPriority w:val="9"/>
    <w:rsid w:val="00A4726F"/>
    <w:rPr>
      <w:rFonts w:eastAsiaTheme="majorEastAsia" w:cstheme="majorBidi"/>
      <w:b/>
      <w:bCs/>
      <w:color w:val="4F81BD" w:themeColor="accent1"/>
      <w:sz w:val="20"/>
    </w:rPr>
  </w:style>
  <w:style w:type="character" w:customStyle="1" w:styleId="Heading4Char">
    <w:name w:val="Heading 4 Char"/>
    <w:basedOn w:val="DefaultParagraphFont"/>
    <w:link w:val="Heading4"/>
    <w:uiPriority w:val="9"/>
    <w:semiHidden/>
    <w:rsid w:val="00A472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472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472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472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4726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726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9E4DB8"/>
    <w:rPr>
      <w:color w:val="0000FF" w:themeColor="hyperlink"/>
      <w:u w:val="single"/>
    </w:rPr>
  </w:style>
  <w:style w:type="paragraph" w:styleId="FootnoteText">
    <w:name w:val="footnote text"/>
    <w:basedOn w:val="Normal"/>
    <w:link w:val="FootnoteTextChar"/>
    <w:uiPriority w:val="99"/>
    <w:semiHidden/>
    <w:unhideWhenUsed/>
    <w:rsid w:val="00353F0C"/>
    <w:rPr>
      <w:sz w:val="20"/>
      <w:szCs w:val="20"/>
    </w:rPr>
  </w:style>
  <w:style w:type="character" w:customStyle="1" w:styleId="FootnoteTextChar">
    <w:name w:val="Footnote Text Char"/>
    <w:basedOn w:val="DefaultParagraphFont"/>
    <w:link w:val="FootnoteText"/>
    <w:uiPriority w:val="99"/>
    <w:semiHidden/>
    <w:rsid w:val="00353F0C"/>
    <w:rPr>
      <w:sz w:val="20"/>
      <w:szCs w:val="20"/>
    </w:rPr>
  </w:style>
  <w:style w:type="character" w:styleId="FootnoteReference">
    <w:name w:val="footnote reference"/>
    <w:basedOn w:val="DefaultParagraphFont"/>
    <w:uiPriority w:val="99"/>
    <w:semiHidden/>
    <w:unhideWhenUsed/>
    <w:rsid w:val="00353F0C"/>
    <w:rPr>
      <w:vertAlign w:val="superscript"/>
    </w:rPr>
  </w:style>
  <w:style w:type="character" w:styleId="CommentReference">
    <w:name w:val="annotation reference"/>
    <w:basedOn w:val="DefaultParagraphFont"/>
    <w:uiPriority w:val="99"/>
    <w:semiHidden/>
    <w:unhideWhenUsed/>
    <w:rsid w:val="00D01C59"/>
    <w:rPr>
      <w:sz w:val="16"/>
      <w:szCs w:val="16"/>
    </w:rPr>
  </w:style>
  <w:style w:type="paragraph" w:styleId="CommentText">
    <w:name w:val="annotation text"/>
    <w:basedOn w:val="Normal"/>
    <w:link w:val="CommentTextChar"/>
    <w:uiPriority w:val="99"/>
    <w:semiHidden/>
    <w:unhideWhenUsed/>
    <w:rsid w:val="00D01C59"/>
    <w:rPr>
      <w:sz w:val="20"/>
      <w:szCs w:val="20"/>
    </w:rPr>
  </w:style>
  <w:style w:type="character" w:customStyle="1" w:styleId="CommentTextChar">
    <w:name w:val="Comment Text Char"/>
    <w:basedOn w:val="DefaultParagraphFont"/>
    <w:link w:val="CommentText"/>
    <w:uiPriority w:val="99"/>
    <w:semiHidden/>
    <w:rsid w:val="00D01C59"/>
    <w:rPr>
      <w:sz w:val="20"/>
      <w:szCs w:val="20"/>
    </w:rPr>
  </w:style>
  <w:style w:type="paragraph" w:styleId="CommentSubject">
    <w:name w:val="annotation subject"/>
    <w:basedOn w:val="CommentText"/>
    <w:next w:val="CommentText"/>
    <w:link w:val="CommentSubjectChar"/>
    <w:uiPriority w:val="99"/>
    <w:semiHidden/>
    <w:unhideWhenUsed/>
    <w:rsid w:val="00D01C59"/>
    <w:rPr>
      <w:b/>
      <w:bCs/>
    </w:rPr>
  </w:style>
  <w:style w:type="character" w:customStyle="1" w:styleId="CommentSubjectChar">
    <w:name w:val="Comment Subject Char"/>
    <w:basedOn w:val="CommentTextChar"/>
    <w:link w:val="CommentSubject"/>
    <w:uiPriority w:val="99"/>
    <w:semiHidden/>
    <w:rsid w:val="00D01C59"/>
    <w:rPr>
      <w:b/>
      <w:bCs/>
      <w:sz w:val="20"/>
      <w:szCs w:val="20"/>
    </w:rPr>
  </w:style>
  <w:style w:type="paragraph" w:styleId="PlainText">
    <w:name w:val="Plain Text"/>
    <w:basedOn w:val="Normal"/>
    <w:link w:val="PlainTextChar"/>
    <w:uiPriority w:val="99"/>
    <w:unhideWhenUsed/>
    <w:rsid w:val="00B32E2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32E28"/>
    <w:rPr>
      <w:rFonts w:ascii="Calibri" w:eastAsiaTheme="minorHAnsi" w:hAnsi="Calibri" w:cstheme="minorBidi"/>
      <w:sz w:val="22"/>
      <w:szCs w:val="21"/>
    </w:rPr>
  </w:style>
  <w:style w:type="paragraph" w:styleId="NormalWeb">
    <w:name w:val="Normal (Web)"/>
    <w:basedOn w:val="Normal"/>
    <w:uiPriority w:val="99"/>
    <w:semiHidden/>
    <w:unhideWhenUsed/>
    <w:rsid w:val="00D178F0"/>
    <w:pPr>
      <w:spacing w:before="100" w:beforeAutospacing="1" w:after="100" w:afterAutospacing="1"/>
    </w:pPr>
    <w:rPr>
      <w:rFonts w:ascii="Times New Roman" w:eastAsia="Times New Roman" w:hAnsi="Times New Roman" w:cs="Times New Roman"/>
      <w:lang w:eastAsia="en-AU"/>
    </w:rPr>
  </w:style>
  <w:style w:type="character" w:styleId="Strong">
    <w:name w:val="Strong"/>
    <w:basedOn w:val="DefaultParagraphFont"/>
    <w:uiPriority w:val="22"/>
    <w:qFormat/>
    <w:rsid w:val="00D178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05629">
      <w:bodyDiv w:val="1"/>
      <w:marLeft w:val="0"/>
      <w:marRight w:val="0"/>
      <w:marTop w:val="0"/>
      <w:marBottom w:val="0"/>
      <w:divBdr>
        <w:top w:val="none" w:sz="0" w:space="0" w:color="auto"/>
        <w:left w:val="none" w:sz="0" w:space="0" w:color="auto"/>
        <w:bottom w:val="none" w:sz="0" w:space="0" w:color="auto"/>
        <w:right w:val="none" w:sz="0" w:space="0" w:color="auto"/>
      </w:divBdr>
    </w:div>
    <w:div w:id="145630961">
      <w:bodyDiv w:val="1"/>
      <w:marLeft w:val="0"/>
      <w:marRight w:val="0"/>
      <w:marTop w:val="0"/>
      <w:marBottom w:val="0"/>
      <w:divBdr>
        <w:top w:val="none" w:sz="0" w:space="0" w:color="auto"/>
        <w:left w:val="none" w:sz="0" w:space="0" w:color="auto"/>
        <w:bottom w:val="none" w:sz="0" w:space="0" w:color="auto"/>
        <w:right w:val="none" w:sz="0" w:space="0" w:color="auto"/>
      </w:divBdr>
    </w:div>
    <w:div w:id="546795818">
      <w:bodyDiv w:val="1"/>
      <w:marLeft w:val="0"/>
      <w:marRight w:val="0"/>
      <w:marTop w:val="0"/>
      <w:marBottom w:val="0"/>
      <w:divBdr>
        <w:top w:val="none" w:sz="0" w:space="0" w:color="auto"/>
        <w:left w:val="none" w:sz="0" w:space="0" w:color="auto"/>
        <w:bottom w:val="none" w:sz="0" w:space="0" w:color="auto"/>
        <w:right w:val="none" w:sz="0" w:space="0" w:color="auto"/>
      </w:divBdr>
    </w:div>
    <w:div w:id="688064068">
      <w:bodyDiv w:val="1"/>
      <w:marLeft w:val="0"/>
      <w:marRight w:val="0"/>
      <w:marTop w:val="0"/>
      <w:marBottom w:val="0"/>
      <w:divBdr>
        <w:top w:val="none" w:sz="0" w:space="0" w:color="auto"/>
        <w:left w:val="none" w:sz="0" w:space="0" w:color="auto"/>
        <w:bottom w:val="none" w:sz="0" w:space="0" w:color="auto"/>
        <w:right w:val="none" w:sz="0" w:space="0" w:color="auto"/>
      </w:divBdr>
      <w:divsChild>
        <w:div w:id="1491677572">
          <w:marLeft w:val="0"/>
          <w:marRight w:val="0"/>
          <w:marTop w:val="0"/>
          <w:marBottom w:val="0"/>
          <w:divBdr>
            <w:top w:val="none" w:sz="0" w:space="0" w:color="auto"/>
            <w:left w:val="none" w:sz="0" w:space="0" w:color="auto"/>
            <w:bottom w:val="none" w:sz="0" w:space="0" w:color="auto"/>
            <w:right w:val="none" w:sz="0" w:space="0" w:color="auto"/>
          </w:divBdr>
        </w:div>
      </w:divsChild>
    </w:div>
    <w:div w:id="1751657119">
      <w:bodyDiv w:val="1"/>
      <w:marLeft w:val="0"/>
      <w:marRight w:val="0"/>
      <w:marTop w:val="0"/>
      <w:marBottom w:val="0"/>
      <w:divBdr>
        <w:top w:val="none" w:sz="0" w:space="0" w:color="auto"/>
        <w:left w:val="none" w:sz="0" w:space="0" w:color="auto"/>
        <w:bottom w:val="none" w:sz="0" w:space="0" w:color="auto"/>
        <w:right w:val="none" w:sz="0" w:space="0" w:color="auto"/>
      </w:divBdr>
    </w:div>
    <w:div w:id="1941135427">
      <w:bodyDiv w:val="1"/>
      <w:marLeft w:val="0"/>
      <w:marRight w:val="0"/>
      <w:marTop w:val="0"/>
      <w:marBottom w:val="0"/>
      <w:divBdr>
        <w:top w:val="none" w:sz="0" w:space="0" w:color="auto"/>
        <w:left w:val="none" w:sz="0" w:space="0" w:color="auto"/>
        <w:bottom w:val="none" w:sz="0" w:space="0" w:color="auto"/>
        <w:right w:val="none" w:sz="0" w:space="0" w:color="auto"/>
      </w:divBdr>
    </w:div>
    <w:div w:id="2069762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croxon\Desktop\Policies\ACU_Policy_Template_-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2ECB8110A7E4B84D6C974763AAD95" ma:contentTypeVersion="2" ma:contentTypeDescription="Create a new document." ma:contentTypeScope="" ma:versionID="35a6340fe586f6caa008cb3f49d2aa4c">
  <xsd:schema xmlns:xsd="http://www.w3.org/2001/XMLSchema" xmlns:p="http://schemas.microsoft.com/office/2006/metadata/properties" xmlns:ns2="f78f4234-3e3b-42b6-9aee-3dab1ce66cba" targetNamespace="http://schemas.microsoft.com/office/2006/metadata/properties" ma:root="true" ma:fieldsID="93542f4c897e49e1e5181ceae48704d4" ns2:_="">
    <xsd:import namespace="f78f4234-3e3b-42b6-9aee-3dab1ce66cba"/>
    <xsd:element name="properties">
      <xsd:complexType>
        <xsd:sequence>
          <xsd:element name="documentManagement">
            <xsd:complexType>
              <xsd:all>
                <xsd:element ref="ns2:Project_x0020_Title" minOccurs="0"/>
                <xsd:element ref="ns2:Project_x0020_Sub_x002d_Title" minOccurs="0"/>
              </xsd:all>
            </xsd:complexType>
          </xsd:element>
        </xsd:sequence>
      </xsd:complexType>
    </xsd:element>
  </xsd:schema>
  <xsd:schema xmlns:xsd="http://www.w3.org/2001/XMLSchema" xmlns:dms="http://schemas.microsoft.com/office/2006/documentManagement/types" targetNamespace="f78f4234-3e3b-42b6-9aee-3dab1ce66cba" elementFormDefault="qualified">
    <xsd:import namespace="http://schemas.microsoft.com/office/2006/documentManagement/types"/>
    <xsd:element name="Project_x0020_Title" ma:index="8" nillable="true" ma:displayName="Project Title" ma:internalName="Project_x0020_Title">
      <xsd:simpleType>
        <xsd:restriction base="dms:Text">
          <xsd:maxLength value="255"/>
        </xsd:restriction>
      </xsd:simpleType>
    </xsd:element>
    <xsd:element name="Project_x0020_Sub_x002d_Title" ma:index="9" nillable="true" ma:displayName="Project Sub-Title" ma:internalName="Project_x0020_Sub_x002d_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roject_x0020_Title xmlns="f78f4234-3e3b-42b6-9aee-3dab1ce66cba">Policy on Policy Development</Project_x0020_Title>
    <Project_x0020_Sub_x002d_Title xmlns="f78f4234-3e3b-42b6-9aee-3dab1ce66cba">Final Documents</Project_x0020_Sub_x002d_Titl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79887-9B18-4707-A19B-AEBC6059B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f4234-3e3b-42b6-9aee-3dab1ce66cb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BBCC80-A21A-416B-9737-2AEA3550CF28}">
  <ds:schemaRefs>
    <ds:schemaRef ds:uri="http://schemas.microsoft.com/sharepoint/v3/contenttype/forms"/>
  </ds:schemaRefs>
</ds:datastoreItem>
</file>

<file path=customXml/itemProps3.xml><?xml version="1.0" encoding="utf-8"?>
<ds:datastoreItem xmlns:ds="http://schemas.openxmlformats.org/officeDocument/2006/customXml" ds:itemID="{E5371D01-A820-45CE-9D42-5081DB886342}">
  <ds:schemaRefs>
    <ds:schemaRef ds:uri="http://schemas.microsoft.com/office/2006/metadata/properties"/>
    <ds:schemaRef ds:uri="http://purl.org/dc/elements/1.1/"/>
    <ds:schemaRef ds:uri="http://purl.org/dc/terms/"/>
    <ds:schemaRef ds:uri="f78f4234-3e3b-42b6-9aee-3dab1ce66cba"/>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032B044-548A-4672-AED6-BBBB20BD4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ACU_Policy_Template_-_Final</Template>
  <TotalTime>0</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Staff Assistance, Support and Representation Policy</vt:lpstr>
    </vt:vector>
  </TitlesOfParts>
  <Company>ACU</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Assistance, Support and Representation Policy</dc:title>
  <dc:creator>ACU</dc:creator>
  <cp:lastModifiedBy>Bernardine Lynch</cp:lastModifiedBy>
  <cp:revision>2</cp:revision>
  <cp:lastPrinted>2016-10-19T03:40:00Z</cp:lastPrinted>
  <dcterms:created xsi:type="dcterms:W3CDTF">2023-10-29T22:39:00Z</dcterms:created>
  <dcterms:modified xsi:type="dcterms:W3CDTF">2023-10-29T22:39:00Z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0x0101004A82ECB8110A7E4B84D6C974763AAD95</vt:lpwstr>
  </property>
  <property fmtid="{D5CDD505-2E9C-101B-9397-08002B2CF9AE}" pid="3" name="Auditor Name">
    <vt:lpwstr>AUQA</vt:lpwstr>
  </property>
  <property fmtid="{D5CDD505-2E9C-101B-9397-08002B2CF9AE}" pid="4" name="Report category">
    <vt:lpwstr>Strategic Plan Reporting</vt:lpwstr>
  </property>
  <property fmtid="{D5CDD505-2E9C-101B-9397-08002B2CF9AE}" pid="5" name="Project">
    <vt:lpwstr>Re-Registration of ACU</vt:lpwstr>
  </property>
  <property fmtid="{D5CDD505-2E9C-101B-9397-08002B2CF9AE}" pid="6" name="Review">
    <vt:lpwstr>General Review Document</vt:lpwstr>
  </property>
  <property fmtid="{D5CDD505-2E9C-101B-9397-08002B2CF9AE}" pid="7" name="TEQSA Metadata">
    <vt:lpwstr>Legislation</vt:lpwstr>
  </property>
  <property fmtid="{D5CDD505-2E9C-101B-9397-08002B2CF9AE}" pid="8" name="TEQSA Decriptor">
    <vt:lpwstr>Legislation</vt:lpwstr>
  </property>
  <property fmtid="{D5CDD505-2E9C-101B-9397-08002B2CF9AE}" pid="9" name="Review Process">
    <vt:lpwstr>Planning</vt:lpwstr>
  </property>
  <property fmtid="{D5CDD505-2E9C-101B-9397-08002B2CF9AE}" pid="10" name="Month">
    <vt:lpwstr>Jan</vt:lpwstr>
  </property>
  <property fmtid="{D5CDD505-2E9C-101B-9397-08002B2CF9AE}" pid="11" name="Review Stage">
    <vt:lpwstr>1.Pre-Planning</vt:lpwstr>
  </property>
  <property fmtid="{D5CDD505-2E9C-101B-9397-08002B2CF9AE}" pid="12" name="Item">
    <vt:lpwstr>Agenda</vt:lpwstr>
  </property>
</Properties>
</file>